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09CD" w14:textId="52AD93C0" w:rsidR="002E58A8" w:rsidRDefault="00A569C7" w:rsidP="00A93325">
      <w:pPr>
        <w:pStyle w:val="infotxt"/>
        <w:jc w:val="center"/>
        <w:rPr>
          <w:color w:val="000000"/>
          <w:sz w:val="20"/>
          <w:szCs w:val="20"/>
        </w:rPr>
      </w:pPr>
      <w:r w:rsidRPr="00A569C7">
        <w:rPr>
          <w:color w:val="000000"/>
          <w:sz w:val="20"/>
          <w:szCs w:val="20"/>
        </w:rPr>
        <w:t>Documento de apoio aos operadores PRTR para o cálculo do volume de produção (ou capacidade efetivada) a usar para efeitos de reporte PRTR</w:t>
      </w:r>
      <w:r w:rsidR="0077192B">
        <w:rPr>
          <w:color w:val="000000"/>
          <w:sz w:val="20"/>
          <w:szCs w:val="20"/>
        </w:rPr>
        <w:t xml:space="preserve"> – Versão 1</w:t>
      </w:r>
    </w:p>
    <w:p w14:paraId="1E9DAB31" w14:textId="77777777" w:rsidR="00145188" w:rsidRPr="00145188" w:rsidRDefault="00145188" w:rsidP="00145188">
      <w:pPr>
        <w:pStyle w:val="Default"/>
      </w:pPr>
    </w:p>
    <w:tbl>
      <w:tblPr>
        <w:tblStyle w:val="TabelacomGrelha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678"/>
        <w:gridCol w:w="1838"/>
      </w:tblGrid>
      <w:tr w:rsidR="00974182" w14:paraId="25A6F9D4" w14:textId="77777777" w:rsidTr="0077192B">
        <w:trPr>
          <w:trHeight w:val="261"/>
        </w:trPr>
        <w:tc>
          <w:tcPr>
            <w:tcW w:w="1984" w:type="dxa"/>
            <w:shd w:val="clear" w:color="auto" w:fill="auto"/>
          </w:tcPr>
          <w:p w14:paraId="06271D68" w14:textId="1CE487B9" w:rsidR="00D93FA3" w:rsidRDefault="00065BFA" w:rsidP="007719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publicação:</w:t>
            </w:r>
          </w:p>
        </w:tc>
        <w:tc>
          <w:tcPr>
            <w:tcW w:w="4678" w:type="dxa"/>
            <w:shd w:val="clear" w:color="auto" w:fill="auto"/>
          </w:tcPr>
          <w:p w14:paraId="259FC525" w14:textId="49101AEB" w:rsidR="00D93FA3" w:rsidRDefault="00065BFA" w:rsidP="007719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Elaborado por:</w:t>
            </w:r>
          </w:p>
        </w:tc>
        <w:tc>
          <w:tcPr>
            <w:tcW w:w="1838" w:type="dxa"/>
            <w:shd w:val="clear" w:color="auto" w:fill="auto"/>
          </w:tcPr>
          <w:p w14:paraId="7D5AF647" w14:textId="13BF4A7F" w:rsidR="00D93FA3" w:rsidRDefault="00065BFA" w:rsidP="007719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Versão:</w:t>
            </w:r>
          </w:p>
        </w:tc>
      </w:tr>
      <w:tr w:rsidR="00974182" w14:paraId="6AF77610" w14:textId="77777777" w:rsidTr="0077192B">
        <w:tc>
          <w:tcPr>
            <w:tcW w:w="1984" w:type="dxa"/>
            <w:shd w:val="clear" w:color="auto" w:fill="auto"/>
          </w:tcPr>
          <w:p w14:paraId="11CB138F" w14:textId="5782C803" w:rsidR="00D93FA3" w:rsidRDefault="00065BFA" w:rsidP="007719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15/03/2025</w:t>
            </w:r>
          </w:p>
        </w:tc>
        <w:tc>
          <w:tcPr>
            <w:tcW w:w="4678" w:type="dxa"/>
            <w:shd w:val="clear" w:color="auto" w:fill="auto"/>
          </w:tcPr>
          <w:p w14:paraId="36BA0AC0" w14:textId="2ED7AF89" w:rsidR="00D93FA3" w:rsidRDefault="00EB4463" w:rsidP="007719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PRTR (</w:t>
            </w:r>
            <w:hyperlink r:id="rId8" w:history="1">
              <w:r w:rsidRPr="00EB4463">
                <w:rPr>
                  <w:rStyle w:val="Hiperligao"/>
                  <w:rFonts w:ascii="Arial" w:hAnsi="Arial" w:cs="Arial"/>
                  <w:sz w:val="20"/>
                  <w:szCs w:val="20"/>
                </w:rPr>
                <w:t>prtr@apambiente.pt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8" w:type="dxa"/>
            <w:shd w:val="clear" w:color="auto" w:fill="auto"/>
          </w:tcPr>
          <w:p w14:paraId="1A3B2B43" w14:textId="409ECC42" w:rsidR="00D93FA3" w:rsidRDefault="00065BFA" w:rsidP="0077192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DF3E468" w14:textId="77777777" w:rsidR="00EF5C3D" w:rsidRDefault="00EF5C3D" w:rsidP="001451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1BBDB1" w14:textId="77777777" w:rsidR="00EF5C3D" w:rsidRDefault="00EF5C3D" w:rsidP="001451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051976" w14:textId="4BAECCC1" w:rsidR="00A569C7" w:rsidRDefault="00A569C7" w:rsidP="0096006A">
      <w:pPr>
        <w:ind w:left="360"/>
        <w:jc w:val="both"/>
      </w:pPr>
      <w:r>
        <w:t>O PRTR (</w:t>
      </w:r>
      <w:proofErr w:type="spellStart"/>
      <w:r w:rsidR="0096082D" w:rsidRPr="0077192B">
        <w:t>Pollutant</w:t>
      </w:r>
      <w:proofErr w:type="spellEnd"/>
      <w:r w:rsidR="0096082D" w:rsidRPr="0077192B">
        <w:t xml:space="preserve"> </w:t>
      </w:r>
      <w:proofErr w:type="spellStart"/>
      <w:r w:rsidR="0096082D" w:rsidRPr="0077192B">
        <w:t>Release</w:t>
      </w:r>
      <w:proofErr w:type="spellEnd"/>
      <w:r w:rsidR="0096082D" w:rsidRPr="0077192B">
        <w:t xml:space="preserve"> </w:t>
      </w:r>
      <w:proofErr w:type="spellStart"/>
      <w:r w:rsidR="0096082D" w:rsidRPr="0077192B">
        <w:t>and</w:t>
      </w:r>
      <w:proofErr w:type="spellEnd"/>
      <w:r w:rsidR="0096082D" w:rsidRPr="0077192B">
        <w:t xml:space="preserve"> </w:t>
      </w:r>
      <w:proofErr w:type="spellStart"/>
      <w:r w:rsidR="0096082D" w:rsidRPr="0077192B">
        <w:t>Transfer</w:t>
      </w:r>
      <w:proofErr w:type="spellEnd"/>
      <w:r w:rsidR="0096082D" w:rsidRPr="0077192B">
        <w:t xml:space="preserve"> </w:t>
      </w:r>
      <w:proofErr w:type="spellStart"/>
      <w:r w:rsidR="0096082D" w:rsidRPr="0077192B">
        <w:t>Register</w:t>
      </w:r>
      <w:proofErr w:type="spellEnd"/>
      <w:r w:rsidR="0096082D" w:rsidRPr="0077192B">
        <w:t>), em português “Registo de Emissões e Transferências de Poluentes</w:t>
      </w:r>
      <w:r>
        <w:t xml:space="preserve">) recolhe dados ambientais destinados a disponibilizar ao público, tal como está previsto no seu </w:t>
      </w:r>
      <w:r w:rsidR="0054233D">
        <w:t>R</w:t>
      </w:r>
      <w:r>
        <w:t xml:space="preserve">egulamento (Regulamento </w:t>
      </w:r>
      <w:r w:rsidR="0096006A">
        <w:t xml:space="preserve">(CE) N.º 166/2006 </w:t>
      </w:r>
      <w:r w:rsidR="00877AB5">
        <w:t>do Parlamento Europeu e do Conselho</w:t>
      </w:r>
      <w:r w:rsidR="0096006A">
        <w:t>)</w:t>
      </w:r>
      <w:r>
        <w:t>. Desde 2007 são recolhidos dados das emissões e transferências de poluentes e transferências de resíduos de instalações onde se realizam atividades de maior impacto ambiental.</w:t>
      </w:r>
    </w:p>
    <w:p w14:paraId="6CAEBFA5" w14:textId="5C124CC2" w:rsidR="00A569C7" w:rsidRDefault="00A569C7" w:rsidP="00A569C7">
      <w:pPr>
        <w:ind w:left="360"/>
        <w:jc w:val="both"/>
      </w:pPr>
      <w:r>
        <w:t xml:space="preserve">Em 2018, passou a ser obrigatória a inclusão do volume de produção nos dados a fornecer à </w:t>
      </w:r>
      <w:r w:rsidR="0054233D">
        <w:t>Comissão Europeia</w:t>
      </w:r>
      <w:r>
        <w:t xml:space="preserve"> no âmbito deste Regulamento. </w:t>
      </w:r>
    </w:p>
    <w:p w14:paraId="06FB1FD8" w14:textId="71890B16" w:rsidR="00A569C7" w:rsidRDefault="00A569C7" w:rsidP="00A569C7">
      <w:pPr>
        <w:ind w:left="360"/>
        <w:jc w:val="both"/>
      </w:pPr>
      <w:r>
        <w:t xml:space="preserve">No entanto só em 2022, com a entrada em vigor da </w:t>
      </w:r>
      <w:r w:rsidRPr="00DE6DE0">
        <w:t>Decisão de Execução (UE) 2022/142 da Comissão</w:t>
      </w:r>
      <w:r>
        <w:t>, foram estipuladas as unidades a utilizar. Esta Decisão visou uniformizar o modo como devem ser reportados os volumes de produção, a fim de conseguir normalizar e comparar emissões de instalações similares. Passou assim a ser obrigatório o reporte do volume de produção nas unidades predefinidas estipuladas.</w:t>
      </w:r>
    </w:p>
    <w:p w14:paraId="6B016188" w14:textId="0C8ADBB4" w:rsidR="00A569C7" w:rsidRDefault="00A569C7" w:rsidP="00A569C7">
      <w:pPr>
        <w:ind w:left="360"/>
        <w:jc w:val="both"/>
      </w:pPr>
      <w:r>
        <w:t xml:space="preserve">A Comissão Europeia desenvolveu um guia com algumas perguntas frequentes com vista a ajudar os Estados Membros e os operadores na definição dos pressupostos a considerar nesta matéria. O guia original pode ser encontrado em: </w:t>
      </w:r>
      <w:hyperlink r:id="rId9" w:history="1">
        <w:r w:rsidRPr="001A7F5B">
          <w:rPr>
            <w:rStyle w:val="Hiperligao"/>
          </w:rPr>
          <w:t>E-PRTR and LCP Integrated Data Reporting</w:t>
        </w:r>
      </w:hyperlink>
      <w:r>
        <w:t xml:space="preserve"> (</w:t>
      </w:r>
      <w:hyperlink r:id="rId10" w:history="1">
        <w:r w:rsidR="00872BC7" w:rsidRPr="0057640A">
          <w:rPr>
            <w:rStyle w:val="Hiperligao"/>
            <w:rFonts w:asciiTheme="minorHAnsi" w:eastAsiaTheme="minorHAnsi" w:hAnsiTheme="minorHAnsi" w:cstheme="minorBidi"/>
            <w:color w:val="0000FF" w:themeColor="hyperlink"/>
            <w:kern w:val="2"/>
            <w:u w:val="single"/>
            <w14:ligatures w14:val="standardContextual"/>
          </w:rPr>
          <w:t>https://cdr.eionet.europa.eu/help/eprtr_lcp/Documents/E-PRTR_LCP%20-%20FAQ%20Production%20Volume%20v1.1.pdf</w:t>
        </w:r>
      </w:hyperlink>
      <w:r>
        <w:t>)</w:t>
      </w:r>
      <w:r w:rsidR="00877AB5">
        <w:t xml:space="preserve"> </w:t>
      </w:r>
    </w:p>
    <w:p w14:paraId="2F0783DC" w14:textId="49E9A917" w:rsidR="00A569C7" w:rsidRPr="00291160" w:rsidRDefault="00A569C7" w:rsidP="00A569C7">
      <w:pPr>
        <w:ind w:left="360"/>
        <w:jc w:val="both"/>
      </w:pPr>
      <w:r>
        <w:t>Visto o documento original estar em inglês, a APA considerou disponibilizar um documento com a informação dos pontos mais importantes</w:t>
      </w:r>
      <w:r w:rsidR="0019768D">
        <w:t xml:space="preserve"> em português</w:t>
      </w:r>
      <w:r>
        <w:t>.</w:t>
      </w:r>
    </w:p>
    <w:p w14:paraId="4E5A66AA" w14:textId="3486F83A" w:rsidR="00A569C7" w:rsidRDefault="00A569C7" w:rsidP="00A569C7">
      <w:pPr>
        <w:ind w:left="360"/>
        <w:jc w:val="both"/>
      </w:pPr>
      <w:r>
        <w:t>Abaixo encontram-se as perguntas e respostas mais frequentes, separadas por tipo de atividade.</w:t>
      </w:r>
    </w:p>
    <w:p w14:paraId="7D215621" w14:textId="77777777" w:rsidR="00A569C7" w:rsidRDefault="00A569C7" w:rsidP="00A569C7">
      <w:pPr>
        <w:ind w:left="360"/>
        <w:jc w:val="both"/>
      </w:pPr>
    </w:p>
    <w:p w14:paraId="5B734368" w14:textId="77777777" w:rsidR="00EF5C3D" w:rsidRDefault="00EF5C3D" w:rsidP="008F13B3">
      <w:pPr>
        <w:ind w:left="360"/>
        <w:jc w:val="right"/>
      </w:pPr>
    </w:p>
    <w:p w14:paraId="6D563BE4" w14:textId="77777777" w:rsidR="00EF5C3D" w:rsidRPr="00291160" w:rsidRDefault="00EF5C3D" w:rsidP="00A569C7">
      <w:pPr>
        <w:ind w:left="360"/>
        <w:jc w:val="both"/>
      </w:pPr>
    </w:p>
    <w:p w14:paraId="02F2300B" w14:textId="77777777" w:rsidR="00A569C7" w:rsidRDefault="00A569C7" w:rsidP="00A569C7">
      <w:pPr>
        <w:pStyle w:val="PargrafodaLista"/>
        <w:numPr>
          <w:ilvl w:val="0"/>
          <w:numId w:val="9"/>
        </w:numPr>
        <w:spacing w:after="160" w:line="259" w:lineRule="auto"/>
        <w:contextualSpacing/>
        <w:jc w:val="both"/>
        <w:rPr>
          <w:b/>
          <w:bCs/>
        </w:rPr>
      </w:pPr>
      <w:r w:rsidRPr="00525D12">
        <w:rPr>
          <w:b/>
          <w:bCs/>
        </w:rPr>
        <w:t>Produção de energia</w:t>
      </w:r>
    </w:p>
    <w:p w14:paraId="2029D9CF" w14:textId="3160C891" w:rsidR="00A569C7" w:rsidRPr="00525D12" w:rsidRDefault="00A569C7" w:rsidP="00A569C7">
      <w:pPr>
        <w:ind w:left="360"/>
        <w:jc w:val="both"/>
        <w:rPr>
          <w:bCs/>
        </w:rPr>
      </w:pPr>
      <w:bookmarkStart w:id="0" w:name="bookmark20"/>
      <w:r w:rsidRPr="00525D12">
        <w:rPr>
          <w:bCs/>
        </w:rPr>
        <w:t xml:space="preserve">Um operador produz energia </w:t>
      </w:r>
      <w:r>
        <w:rPr>
          <w:bCs/>
        </w:rPr>
        <w:t>de diferentes</w:t>
      </w:r>
      <w:r w:rsidRPr="00525D12">
        <w:rPr>
          <w:bCs/>
        </w:rPr>
        <w:t xml:space="preserve"> formas, mas a instalação </w:t>
      </w:r>
      <w:r>
        <w:rPr>
          <w:bCs/>
        </w:rPr>
        <w:t>desenvolve</w:t>
      </w:r>
      <w:r w:rsidRPr="00525D12">
        <w:rPr>
          <w:bCs/>
        </w:rPr>
        <w:t xml:space="preserve"> apenas uma atividade principal (por exemplo, 1c). O que deve ser comunicado?</w:t>
      </w:r>
      <w:bookmarkEnd w:id="0"/>
    </w:p>
    <w:p w14:paraId="00959C71" w14:textId="77777777" w:rsidR="00A569C7" w:rsidRPr="0077192B" w:rsidRDefault="00A569C7" w:rsidP="00A569C7">
      <w:pPr>
        <w:pStyle w:val="Bodytext10"/>
        <w:ind w:left="360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 xml:space="preserve">No caso de uma central elétrica fornecer vários valores relativos ao volume de produção, por exemplo, a produção de eletricidade (em </w:t>
      </w:r>
      <w:proofErr w:type="spellStart"/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>MWh</w:t>
      </w:r>
      <w:proofErr w:type="spellEnd"/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 xml:space="preserve">) e a produção de calor para aquecimento urbano (em </w:t>
      </w:r>
      <w:proofErr w:type="spellStart"/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>MWh</w:t>
      </w:r>
      <w:proofErr w:type="spellEnd"/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>), deve adicionar os dois valores para comunicação do volume de produção.</w:t>
      </w:r>
    </w:p>
    <w:p w14:paraId="5989E7DA" w14:textId="77777777" w:rsidR="00A569C7" w:rsidRPr="0077192B" w:rsidRDefault="00A569C7" w:rsidP="00A569C7">
      <w:pPr>
        <w:pStyle w:val="Bodytext10"/>
        <w:ind w:left="360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</w:p>
    <w:p w14:paraId="1A908C06" w14:textId="77777777" w:rsidR="00A569C7" w:rsidRPr="0077192B" w:rsidRDefault="00A569C7" w:rsidP="00A569C7">
      <w:pPr>
        <w:pStyle w:val="PargrafodaLista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77192B">
        <w:rPr>
          <w:rFonts w:asciiTheme="minorHAnsi" w:hAnsiTheme="minorHAnsi" w:cstheme="minorHAnsi"/>
          <w:b/>
          <w:bCs/>
        </w:rPr>
        <w:t>Tratamento de superfícies por processos eletrolíticos ou químicos</w:t>
      </w:r>
    </w:p>
    <w:p w14:paraId="36587AAD" w14:textId="258BF73D" w:rsidR="00A569C7" w:rsidRPr="0077192B" w:rsidRDefault="00A569C7" w:rsidP="00A569C7">
      <w:pPr>
        <w:ind w:left="360"/>
        <w:jc w:val="both"/>
        <w:rPr>
          <w:rFonts w:asciiTheme="minorHAnsi" w:eastAsiaTheme="minorHAnsi" w:hAnsiTheme="minorHAnsi" w:cstheme="minorHAnsi"/>
          <w:bCs/>
          <w:lang w:eastAsia="pt-PT"/>
        </w:rPr>
      </w:pPr>
      <w:bookmarkStart w:id="1" w:name="bookmark22"/>
      <w:r w:rsidRPr="0077192B">
        <w:rPr>
          <w:rFonts w:asciiTheme="minorHAnsi" w:eastAsiaTheme="minorHAnsi" w:hAnsiTheme="minorHAnsi" w:cstheme="minorHAnsi"/>
          <w:bCs/>
          <w:lang w:eastAsia="pt-PT"/>
        </w:rPr>
        <w:t>No caso da atividade 2(f), qual o valor a ter em conta ao comunicar o volume de produção: o volume de todo o banho ou apenas a quantidade do produto ativo?</w:t>
      </w:r>
      <w:bookmarkEnd w:id="1"/>
    </w:p>
    <w:p w14:paraId="159D0017" w14:textId="4C1D41F4" w:rsidR="003C6B0C" w:rsidRPr="0077192B" w:rsidRDefault="003C6B0C" w:rsidP="00A569C7">
      <w:pPr>
        <w:pStyle w:val="Bodytext10"/>
        <w:ind w:left="360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>Neste caso</w:t>
      </w:r>
      <w:r w:rsidR="00F52AA2" w:rsidRPr="0077192B">
        <w:rPr>
          <w:rFonts w:asciiTheme="minorHAnsi" w:eastAsiaTheme="minorHAnsi" w:hAnsiTheme="minorHAnsi" w:cstheme="minorHAnsi"/>
          <w:bCs/>
          <w:sz w:val="22"/>
          <w:szCs w:val="22"/>
        </w:rPr>
        <w:t>,</w:t>
      </w:r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r w:rsidR="00A569C7" w:rsidRPr="0077192B">
        <w:rPr>
          <w:rFonts w:asciiTheme="minorHAnsi" w:eastAsiaTheme="minorHAnsi" w:hAnsiTheme="minorHAnsi" w:cstheme="minorHAnsi"/>
          <w:bCs/>
          <w:sz w:val="22"/>
          <w:szCs w:val="22"/>
        </w:rPr>
        <w:t xml:space="preserve">deve considerar-se a quantidade de substâncias de tratamento de superfície </w:t>
      </w:r>
      <w:r w:rsidR="00A569C7" w:rsidRPr="0077192B">
        <w:rPr>
          <w:rFonts w:asciiTheme="minorHAnsi" w:eastAsiaTheme="minorHAnsi" w:hAnsiTheme="minorHAnsi" w:cstheme="minorHAnsi"/>
          <w:sz w:val="22"/>
          <w:szCs w:val="22"/>
        </w:rPr>
        <w:t>prontas a utilizar</w:t>
      </w:r>
      <w:r w:rsidR="00A569C7" w:rsidRPr="0077192B">
        <w:rPr>
          <w:rFonts w:asciiTheme="minorHAnsi" w:eastAsiaTheme="minorHAnsi" w:hAnsiTheme="minorHAnsi" w:cstheme="minorHAnsi"/>
          <w:bCs/>
          <w:sz w:val="22"/>
          <w:szCs w:val="22"/>
        </w:rPr>
        <w:t xml:space="preserve">. </w:t>
      </w:r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>O valor obtido não está diretamente relacionado com o volume das tinas, mas sim com a quantidade de substâncias utilizadas no tratamento de superfície.</w:t>
      </w:r>
    </w:p>
    <w:p w14:paraId="7B671709" w14:textId="04903FAC" w:rsidR="00A569C7" w:rsidRPr="0077192B" w:rsidRDefault="00A569C7" w:rsidP="00A569C7">
      <w:pPr>
        <w:pStyle w:val="Bodytext10"/>
        <w:ind w:left="360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>Os ânodos solúveis devem ser incluídos no cálculo, uma vez que se dissolvem para reabastecer o metal da solução (eletrólito) que é depositado nas peças.</w:t>
      </w:r>
      <w:r w:rsidR="003C6B0C" w:rsidRPr="0077192B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</w:p>
    <w:p w14:paraId="3CEBAC74" w14:textId="7C0018FB" w:rsidR="00A569C7" w:rsidRPr="0077192B" w:rsidRDefault="00A569C7" w:rsidP="003C6B0C">
      <w:pPr>
        <w:pStyle w:val="Bodytext10"/>
        <w:ind w:left="360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>Quanto</w:t>
      </w:r>
      <w:r w:rsidR="00F91D0E">
        <w:rPr>
          <w:rFonts w:asciiTheme="minorHAnsi" w:eastAsiaTheme="minorHAnsi" w:hAnsiTheme="minorHAnsi" w:cstheme="minorHAnsi"/>
          <w:bCs/>
          <w:sz w:val="22"/>
          <w:szCs w:val="22"/>
        </w:rPr>
        <w:t xml:space="preserve"> às emissões decorrentes d</w:t>
      </w:r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>os processos diretamente associados</w:t>
      </w:r>
      <w:r w:rsidR="006C6B79">
        <w:rPr>
          <w:rFonts w:asciiTheme="minorHAnsi" w:eastAsiaTheme="minorHAnsi" w:hAnsiTheme="minorHAnsi" w:cstheme="minorHAnsi"/>
          <w:bCs/>
          <w:sz w:val="22"/>
          <w:szCs w:val="22"/>
        </w:rPr>
        <w:t xml:space="preserve"> às atividades PRTR</w:t>
      </w:r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 xml:space="preserve">, </w:t>
      </w:r>
      <w:r w:rsidR="00FB7CF4">
        <w:rPr>
          <w:rFonts w:asciiTheme="minorHAnsi" w:eastAsiaTheme="minorHAnsi" w:hAnsiTheme="minorHAnsi" w:cstheme="minorHAnsi"/>
          <w:bCs/>
          <w:sz w:val="22"/>
          <w:szCs w:val="22"/>
        </w:rPr>
        <w:t xml:space="preserve">uma vez que </w:t>
      </w:r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 xml:space="preserve">podem ter impacto nos consumos e </w:t>
      </w:r>
      <w:r w:rsidR="007418F9">
        <w:rPr>
          <w:rFonts w:asciiTheme="minorHAnsi" w:eastAsiaTheme="minorHAnsi" w:hAnsiTheme="minorHAnsi" w:cstheme="minorHAnsi"/>
          <w:bCs/>
          <w:sz w:val="22"/>
          <w:szCs w:val="22"/>
        </w:rPr>
        <w:t>n</w:t>
      </w:r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>as emissões s</w:t>
      </w:r>
      <w:r w:rsidR="00C76CDC">
        <w:rPr>
          <w:rFonts w:asciiTheme="minorHAnsi" w:eastAsiaTheme="minorHAnsi" w:hAnsiTheme="minorHAnsi" w:cstheme="minorHAnsi"/>
          <w:bCs/>
          <w:sz w:val="22"/>
          <w:szCs w:val="22"/>
        </w:rPr>
        <w:t xml:space="preserve">e que </w:t>
      </w:r>
      <w:proofErr w:type="spellStart"/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>ão</w:t>
      </w:r>
      <w:proofErr w:type="spellEnd"/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 xml:space="preserve"> considerados no âmbito do processo de elaboração do documento de referência MTD</w:t>
      </w:r>
      <w:r w:rsidR="0093183E">
        <w:rPr>
          <w:rFonts w:asciiTheme="minorHAnsi" w:eastAsiaTheme="minorHAnsi" w:hAnsiTheme="minorHAnsi" w:cstheme="minorHAnsi"/>
          <w:bCs/>
          <w:sz w:val="22"/>
          <w:szCs w:val="22"/>
        </w:rPr>
        <w:t>, devem ser declaradas</w:t>
      </w:r>
      <w:r w:rsidRPr="0077192B">
        <w:rPr>
          <w:rFonts w:asciiTheme="minorHAnsi" w:eastAsiaTheme="minorHAnsi" w:hAnsiTheme="minorHAnsi" w:cstheme="minorHAnsi"/>
          <w:bCs/>
          <w:sz w:val="22"/>
          <w:szCs w:val="22"/>
        </w:rPr>
        <w:t>. Por exemplo, o processo de revestimento com pó não é abrangido pela atividade 2f), mas se as etapas de pré-tratamento (por exemplo, decapagem, gravação, revestimentos de conversão) excederem o limiar estabelecido na atividade 2f), e estiverem a decorrer na mesma instalação, considera-se que esses produtos químicos (para as etapas de pré-tratamento) devem ser contabilizados.</w:t>
      </w:r>
    </w:p>
    <w:p w14:paraId="3843C578" w14:textId="77777777" w:rsidR="00A569C7" w:rsidRPr="0077192B" w:rsidRDefault="00A569C7" w:rsidP="00A569C7">
      <w:pPr>
        <w:ind w:left="360"/>
        <w:jc w:val="both"/>
        <w:rPr>
          <w:rStyle w:val="Bodytext1"/>
          <w:rFonts w:asciiTheme="minorHAnsi" w:hAnsiTheme="minorHAnsi" w:cstheme="minorHAnsi"/>
        </w:rPr>
      </w:pPr>
    </w:p>
    <w:p w14:paraId="1AFB5294" w14:textId="77777777" w:rsidR="00A569C7" w:rsidRPr="0077192B" w:rsidRDefault="00A569C7" w:rsidP="00A569C7">
      <w:pPr>
        <w:pStyle w:val="PargrafodaLista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77192B">
        <w:rPr>
          <w:rFonts w:asciiTheme="minorHAnsi" w:hAnsiTheme="minorHAnsi" w:cstheme="minorHAnsi"/>
          <w:b/>
          <w:bCs/>
        </w:rPr>
        <w:t>Extração mineira</w:t>
      </w:r>
    </w:p>
    <w:p w14:paraId="369BC445" w14:textId="77777777" w:rsidR="00A569C7" w:rsidRPr="0077192B" w:rsidRDefault="00A569C7" w:rsidP="00A569C7">
      <w:pPr>
        <w:pStyle w:val="Bodytext10"/>
        <w:ind w:firstLine="360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sz w:val="22"/>
          <w:szCs w:val="22"/>
        </w:rPr>
        <w:t>Para as atividades 3 a) e 3 b), o que deve ser considerado «material extraído»?</w:t>
      </w:r>
    </w:p>
    <w:p w14:paraId="10C55001" w14:textId="3AC80C9B" w:rsidR="00A569C7" w:rsidRPr="0077192B" w:rsidRDefault="00A569C7" w:rsidP="00A569C7">
      <w:pPr>
        <w:pStyle w:val="Bodytext10"/>
        <w:ind w:left="360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Para estabelecer as unidades e os parâmetros a comunicar pelos Estados-Membros </w:t>
      </w:r>
      <w:r w:rsidR="00D032FC">
        <w:rPr>
          <w:rStyle w:val="Bodytext1"/>
          <w:rFonts w:asciiTheme="minorHAnsi" w:hAnsiTheme="minorHAnsi" w:cstheme="minorHAnsi"/>
          <w:sz w:val="22"/>
          <w:szCs w:val="22"/>
        </w:rPr>
        <w:t>no que se refere ao</w:t>
      </w:r>
      <w:r w:rsidR="00B85499">
        <w:rPr>
          <w:rStyle w:val="Bodytext1"/>
          <w:rFonts w:asciiTheme="minorHAnsi" w:hAnsiTheme="minorHAnsi" w:cstheme="minorHAnsi"/>
          <w:sz w:val="22"/>
          <w:szCs w:val="22"/>
        </w:rPr>
        <w:t xml:space="preserve"> 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>«Volume de produção», a Decisão de Execução 2022/142 da Comissão define «toneladas de produtos/material extraído» como o peso do parâmetro indicado, incluindo qualquer teor de humidade inerente aos produtos ou material extraído, mas excluindo qualquer embalagem/contenção do produto».</w:t>
      </w:r>
    </w:p>
    <w:p w14:paraId="7C9AEE08" w14:textId="77777777" w:rsidR="00A569C7" w:rsidRDefault="00A569C7" w:rsidP="00A569C7">
      <w:pPr>
        <w:pStyle w:val="Bodytext10"/>
        <w:ind w:left="360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</w:p>
    <w:p w14:paraId="199CF094" w14:textId="77777777" w:rsidR="00EF5C3D" w:rsidRPr="0077192B" w:rsidRDefault="00EF5C3D" w:rsidP="00A569C7">
      <w:pPr>
        <w:pStyle w:val="Bodytext10"/>
        <w:ind w:left="360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</w:p>
    <w:p w14:paraId="5EAAA789" w14:textId="77777777" w:rsidR="00A569C7" w:rsidRPr="0077192B" w:rsidRDefault="00A569C7" w:rsidP="00A569C7">
      <w:pPr>
        <w:pStyle w:val="PargrafodaLista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77192B">
        <w:rPr>
          <w:rFonts w:asciiTheme="minorHAnsi" w:hAnsiTheme="minorHAnsi" w:cstheme="minorHAnsi"/>
          <w:b/>
          <w:bCs/>
        </w:rPr>
        <w:t>Produtos farmacêuticos</w:t>
      </w:r>
    </w:p>
    <w:p w14:paraId="53EA0BB5" w14:textId="77777777" w:rsidR="00A569C7" w:rsidRPr="0077192B" w:rsidRDefault="00A569C7" w:rsidP="00A569C7">
      <w:pPr>
        <w:pStyle w:val="Bodytext10"/>
        <w:ind w:left="360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  <w:bookmarkStart w:id="2" w:name="bookmark29"/>
      <w:r w:rsidRPr="0077192B">
        <w:rPr>
          <w:rStyle w:val="Bodytext1"/>
          <w:rFonts w:asciiTheme="minorHAnsi" w:hAnsiTheme="minorHAnsi" w:cstheme="minorHAnsi"/>
          <w:sz w:val="22"/>
          <w:szCs w:val="22"/>
        </w:rPr>
        <w:t>Deve considerar-se o material de embalagem (por exemplo, seringa) ou apenas o produto farmacêutico (por exemplo, insulina, comprimidos)?</w:t>
      </w:r>
      <w:bookmarkEnd w:id="2"/>
    </w:p>
    <w:p w14:paraId="54D00FE5" w14:textId="77777777" w:rsidR="00A569C7" w:rsidRPr="0077192B" w:rsidRDefault="00A569C7" w:rsidP="00A569C7">
      <w:pPr>
        <w:pStyle w:val="Bodytext10"/>
        <w:ind w:firstLine="360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sz w:val="22"/>
          <w:szCs w:val="22"/>
        </w:rPr>
        <w:t>Não, a embalagem não deve ser incluída.</w:t>
      </w:r>
    </w:p>
    <w:p w14:paraId="4CFEA8AB" w14:textId="77777777" w:rsidR="00A569C7" w:rsidRPr="0077192B" w:rsidRDefault="00A569C7" w:rsidP="00A569C7">
      <w:pPr>
        <w:pStyle w:val="Bodytext10"/>
        <w:ind w:firstLine="360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</w:p>
    <w:p w14:paraId="60999836" w14:textId="77777777" w:rsidR="00A569C7" w:rsidRPr="0077192B" w:rsidRDefault="00A569C7" w:rsidP="00A569C7">
      <w:pPr>
        <w:pStyle w:val="PargrafodaLista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77192B">
        <w:rPr>
          <w:rFonts w:asciiTheme="minorHAnsi" w:hAnsiTheme="minorHAnsi" w:cstheme="minorHAnsi"/>
          <w:b/>
        </w:rPr>
        <w:t>Gestão de resíduos</w:t>
      </w:r>
    </w:p>
    <w:p w14:paraId="7F7145A0" w14:textId="2346B184" w:rsidR="00A569C7" w:rsidRPr="0077192B" w:rsidRDefault="00A569C7" w:rsidP="00A569C7">
      <w:pPr>
        <w:pStyle w:val="Bodytext10"/>
        <w:numPr>
          <w:ilvl w:val="0"/>
          <w:numId w:val="10"/>
        </w:numPr>
        <w:spacing w:after="0" w:line="360" w:lineRule="auto"/>
        <w:jc w:val="both"/>
        <w:rPr>
          <w:rStyle w:val="Bodytext1"/>
          <w:rFonts w:asciiTheme="minorHAnsi" w:hAnsiTheme="minorHAnsi" w:cstheme="minorHAnsi"/>
          <w:bCs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bCs/>
          <w:sz w:val="22"/>
          <w:szCs w:val="22"/>
        </w:rPr>
        <w:t xml:space="preserve">O que deve ser considerado como 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>«</w:t>
      </w:r>
      <w:r w:rsidRPr="0077192B">
        <w:rPr>
          <w:rStyle w:val="Bodytext1"/>
          <w:rFonts w:asciiTheme="minorHAnsi" w:hAnsiTheme="minorHAnsi" w:cstheme="minorHAnsi"/>
          <w:bCs/>
          <w:sz w:val="22"/>
          <w:szCs w:val="22"/>
        </w:rPr>
        <w:t xml:space="preserve">resíduos </w:t>
      </w:r>
      <w:r w:rsidR="003C6B0C" w:rsidRPr="0077192B">
        <w:rPr>
          <w:rStyle w:val="Bodytext1"/>
          <w:rFonts w:asciiTheme="minorHAnsi" w:hAnsiTheme="minorHAnsi" w:cstheme="minorHAnsi"/>
          <w:bCs/>
          <w:sz w:val="22"/>
          <w:szCs w:val="22"/>
        </w:rPr>
        <w:t>recebidos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>»</w:t>
      </w:r>
      <w:r w:rsidRPr="0077192B">
        <w:rPr>
          <w:rStyle w:val="Bodytext1"/>
          <w:rFonts w:asciiTheme="minorHAnsi" w:hAnsiTheme="minorHAnsi" w:cstheme="minorHAnsi"/>
          <w:bCs/>
          <w:sz w:val="22"/>
          <w:szCs w:val="22"/>
        </w:rPr>
        <w:t>?</w:t>
      </w:r>
    </w:p>
    <w:p w14:paraId="37890E8D" w14:textId="77777777" w:rsidR="00A569C7" w:rsidRPr="0077192B" w:rsidRDefault="00A569C7" w:rsidP="00A569C7">
      <w:pPr>
        <w:pStyle w:val="Bodytext10"/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bCs/>
          <w:sz w:val="22"/>
          <w:szCs w:val="22"/>
        </w:rPr>
        <w:t>Para esta definição devem ser tidos em consideração os seguintes casos:</w:t>
      </w:r>
    </w:p>
    <w:p w14:paraId="200001C7" w14:textId="77777777" w:rsidR="00A569C7" w:rsidRPr="0077192B" w:rsidRDefault="00A569C7" w:rsidP="00A569C7">
      <w:pPr>
        <w:pStyle w:val="Bodytext10"/>
        <w:tabs>
          <w:tab w:val="left" w:pos="728"/>
        </w:tabs>
        <w:spacing w:line="276" w:lineRule="auto"/>
        <w:ind w:left="708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bCs/>
          <w:sz w:val="22"/>
          <w:szCs w:val="22"/>
        </w:rPr>
        <w:tab/>
      </w:r>
      <w:r w:rsidRPr="0077192B">
        <w:rPr>
          <w:rStyle w:val="Bodytext1"/>
          <w:rFonts w:asciiTheme="minorHAnsi" w:hAnsiTheme="minorHAnsi" w:cstheme="minorHAnsi"/>
          <w:b/>
          <w:bCs/>
          <w:sz w:val="22"/>
          <w:szCs w:val="22"/>
        </w:rPr>
        <w:t>Resíduos produzidos na instalação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: </w:t>
      </w:r>
      <w:r w:rsidRPr="001C63F2">
        <w:rPr>
          <w:rStyle w:val="Bodytext1"/>
          <w:rFonts w:asciiTheme="minorHAnsi" w:hAnsiTheme="minorHAnsi" w:cstheme="minorHAnsi"/>
          <w:sz w:val="22"/>
          <w:szCs w:val="22"/>
          <w:u w:val="single"/>
        </w:rPr>
        <w:t>Só devem ser considerados se forem tratados no local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>.</w:t>
      </w:r>
    </w:p>
    <w:p w14:paraId="3B50FEDE" w14:textId="6FA88714" w:rsidR="00A569C7" w:rsidRPr="0077192B" w:rsidRDefault="00A569C7" w:rsidP="00A569C7">
      <w:pPr>
        <w:pStyle w:val="Bodytext10"/>
        <w:tabs>
          <w:tab w:val="left" w:pos="728"/>
        </w:tabs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sz w:val="22"/>
          <w:szCs w:val="22"/>
        </w:rPr>
        <w:tab/>
      </w:r>
      <w:r w:rsidRPr="0077192B">
        <w:rPr>
          <w:rStyle w:val="Bodytext1"/>
          <w:rFonts w:asciiTheme="minorHAnsi" w:hAnsiTheme="minorHAnsi" w:cstheme="minorHAnsi"/>
          <w:b/>
          <w:bCs/>
          <w:sz w:val="22"/>
          <w:szCs w:val="22"/>
        </w:rPr>
        <w:t>Resíduos secundários produzidos na instalação durante a triagem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: </w:t>
      </w:r>
      <w:r w:rsidRPr="0077192B">
        <w:rPr>
          <w:rStyle w:val="Bodytext1"/>
          <w:rFonts w:asciiTheme="minorHAnsi" w:hAnsiTheme="minorHAnsi" w:cstheme="minorHAnsi"/>
          <w:bCs/>
          <w:sz w:val="22"/>
          <w:szCs w:val="22"/>
        </w:rPr>
        <w:t>Por exemplo, aquando da demolição de veículos em fim de vida, surgem vários tipos de resíduos secundários.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 </w:t>
      </w:r>
      <w:r w:rsidRPr="001C63F2">
        <w:rPr>
          <w:rStyle w:val="Bodytext1"/>
          <w:rFonts w:asciiTheme="minorHAnsi" w:hAnsiTheme="minorHAnsi" w:cstheme="minorHAnsi"/>
          <w:sz w:val="22"/>
          <w:szCs w:val="22"/>
          <w:u w:val="single"/>
        </w:rPr>
        <w:t>Não são contabilizados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 – existe o risco de dupla contagem</w:t>
      </w:r>
      <w:r w:rsidR="00183112">
        <w:rPr>
          <w:rStyle w:val="Bodytext1"/>
          <w:rFonts w:asciiTheme="minorHAnsi" w:hAnsiTheme="minorHAnsi" w:cstheme="minorHAnsi"/>
          <w:sz w:val="22"/>
          <w:szCs w:val="22"/>
        </w:rPr>
        <w:t>.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 </w:t>
      </w:r>
      <w:r w:rsidR="00183112">
        <w:rPr>
          <w:rStyle w:val="Bodytext1"/>
          <w:rFonts w:asciiTheme="minorHAnsi" w:hAnsiTheme="minorHAnsi" w:cstheme="minorHAnsi"/>
          <w:sz w:val="22"/>
          <w:szCs w:val="22"/>
        </w:rPr>
        <w:t>O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 que resulta da triagem, classificação, etc., não gera mais toneladas de resíduos, apenas caracteriza os resíduos existentes.</w:t>
      </w:r>
    </w:p>
    <w:p w14:paraId="2D4E60BE" w14:textId="54C96A75" w:rsidR="00A569C7" w:rsidRPr="0077192B" w:rsidRDefault="00A569C7" w:rsidP="00A569C7">
      <w:pPr>
        <w:pStyle w:val="Bodytext10"/>
        <w:spacing w:line="276" w:lineRule="auto"/>
        <w:ind w:left="720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b/>
          <w:sz w:val="22"/>
          <w:szCs w:val="22"/>
        </w:rPr>
        <w:t xml:space="preserve">Resíduos armazenados de anos anteriores que são valorizados ou tratados num ano diferente: </w:t>
      </w:r>
      <w:r w:rsidRPr="001C63F2">
        <w:rPr>
          <w:rStyle w:val="Bodytext1"/>
          <w:rFonts w:asciiTheme="minorHAnsi" w:hAnsiTheme="minorHAnsi" w:cstheme="minorHAnsi"/>
          <w:sz w:val="22"/>
          <w:szCs w:val="22"/>
          <w:u w:val="single"/>
        </w:rPr>
        <w:t>Não devem ser considerados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. Caso contrário, não contabilizamos os «resíduos </w:t>
      </w:r>
      <w:r w:rsidR="003C6B0C" w:rsidRPr="0077192B">
        <w:rPr>
          <w:rStyle w:val="Bodytext1"/>
          <w:rFonts w:asciiTheme="minorHAnsi" w:hAnsiTheme="minorHAnsi" w:cstheme="minorHAnsi"/>
          <w:sz w:val="22"/>
          <w:szCs w:val="22"/>
        </w:rPr>
        <w:t>recebidos»,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 mas sim os existentes na instalação, e podem ser contados em duplicado (visto terem sido recebidos e contabilizados noutro ano) (ver definição na Decisão de Execução 2022/142 do Conselho).</w:t>
      </w:r>
      <w:bookmarkStart w:id="3" w:name="bookmark31"/>
    </w:p>
    <w:p w14:paraId="29140D7D" w14:textId="77777777" w:rsidR="00A569C7" w:rsidRPr="0077192B" w:rsidRDefault="00A569C7" w:rsidP="00A569C7">
      <w:pPr>
        <w:pStyle w:val="Bodytext10"/>
        <w:spacing w:after="0" w:line="271" w:lineRule="auto"/>
        <w:ind w:left="720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</w:p>
    <w:p w14:paraId="01562FE8" w14:textId="513F5D58" w:rsidR="00A569C7" w:rsidRPr="0077192B" w:rsidRDefault="00A569C7" w:rsidP="00A569C7">
      <w:pPr>
        <w:pStyle w:val="Bodytext10"/>
        <w:numPr>
          <w:ilvl w:val="0"/>
          <w:numId w:val="10"/>
        </w:numPr>
        <w:tabs>
          <w:tab w:val="left" w:pos="728"/>
        </w:tabs>
        <w:spacing w:after="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92B">
        <w:rPr>
          <w:rStyle w:val="Heading21"/>
          <w:rFonts w:asciiTheme="minorHAnsi" w:hAnsiTheme="minorHAnsi" w:cstheme="minorHAnsi"/>
          <w:sz w:val="22"/>
          <w:szCs w:val="22"/>
        </w:rPr>
        <w:t xml:space="preserve">Tratamentos não térmicos de resíduos— </w:t>
      </w:r>
      <w:r w:rsidRPr="0077192B">
        <w:rPr>
          <w:rStyle w:val="Heading21"/>
          <w:rFonts w:asciiTheme="minorHAnsi" w:hAnsiTheme="minorHAnsi" w:cstheme="minorHAnsi"/>
          <w:bCs/>
          <w:sz w:val="22"/>
          <w:szCs w:val="22"/>
        </w:rPr>
        <w:t>Uma instalação declara os dados para a atividade principal 5 a), mas trata tanto resíduos perigosos como não perigosos: o que deve ser considerado na comunicação do volume de produção?</w:t>
      </w:r>
      <w:bookmarkEnd w:id="3"/>
    </w:p>
    <w:p w14:paraId="6278934C" w14:textId="36BFCFFC" w:rsidR="00A569C7" w:rsidRPr="0077192B" w:rsidRDefault="00A569C7" w:rsidP="00A569C7">
      <w:pPr>
        <w:pStyle w:val="Bodytext1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sz w:val="22"/>
          <w:szCs w:val="22"/>
        </w:rPr>
        <w:t>Idealmente, os operadores devem comunicar as atividades principais e outras atividades se estas forem superiores aos limiares de capacidade. Se for esse o caso deve ser comunicado um valor relativo ao volume de produção por atividade (embora tal não seja obrigatório na Decisão de Execução do Conselho). No caso de Portugal</w:t>
      </w:r>
      <w:r w:rsidR="005A5E16">
        <w:rPr>
          <w:rStyle w:val="Bodytext1"/>
          <w:rFonts w:asciiTheme="minorHAnsi" w:hAnsiTheme="minorHAnsi" w:cstheme="minorHAnsi"/>
          <w:sz w:val="22"/>
          <w:szCs w:val="22"/>
        </w:rPr>
        <w:t>, de momento,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 apenas estão a ser recolhidos dados referentes à atividade principal.</w:t>
      </w:r>
    </w:p>
    <w:p w14:paraId="46B7B768" w14:textId="608C942D" w:rsidR="00A569C7" w:rsidRPr="0077192B" w:rsidRDefault="00A569C7" w:rsidP="00A569C7">
      <w:pPr>
        <w:pStyle w:val="Bodytext1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Note-se que, quando os resíduos entram na instalação </w:t>
      </w:r>
      <w:r w:rsidRPr="0077192B">
        <w:rPr>
          <w:rStyle w:val="Bodytext1"/>
          <w:rFonts w:asciiTheme="minorHAnsi" w:hAnsiTheme="minorHAnsi" w:cstheme="minorHAnsi"/>
          <w:b/>
          <w:sz w:val="22"/>
          <w:szCs w:val="22"/>
        </w:rPr>
        <w:t xml:space="preserve">apenas 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para serem novamente 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lastRenderedPageBreak/>
        <w:t xml:space="preserve">transferidos sem tratamento, não devem ser contabilizados como «resíduos </w:t>
      </w:r>
      <w:r w:rsidR="003C6B0C" w:rsidRPr="0077192B">
        <w:rPr>
          <w:rStyle w:val="Bodytext1"/>
          <w:rFonts w:asciiTheme="minorHAnsi" w:hAnsiTheme="minorHAnsi" w:cstheme="minorHAnsi"/>
          <w:sz w:val="22"/>
          <w:szCs w:val="22"/>
        </w:rPr>
        <w:t>recebidos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>» para efeitos de comunicação do volume de produção. Tal está incluído nas definições da Decisão de Execução 2022/142 do Conselho:</w:t>
      </w:r>
    </w:p>
    <w:p w14:paraId="1103EC32" w14:textId="2B565D63" w:rsidR="00A569C7" w:rsidRPr="0077192B" w:rsidRDefault="00A569C7" w:rsidP="00A569C7">
      <w:pPr>
        <w:pStyle w:val="Bodytext10"/>
        <w:ind w:left="708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“resíduos recebidos”, o peso </w:t>
      </w:r>
      <w:r w:rsidR="003C6B0C"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em toneladas 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>de todos os resíduos recebidos, no decurso de um ano civil, numa instalação e que são posteriormente tratados no âmbito da atividade definida de valorização ou eliminação realizada pela mesma instalação excluindo as quantidades de resíduos transferidas para outras instalações sem tratamento</w:t>
      </w:r>
      <w:r w:rsidR="00734694" w:rsidRPr="0077192B">
        <w:rPr>
          <w:rStyle w:val="Bodytext1"/>
          <w:rFonts w:asciiTheme="minorHAnsi" w:hAnsiTheme="minorHAnsi" w:cstheme="minorHAnsi"/>
          <w:sz w:val="22"/>
          <w:szCs w:val="22"/>
        </w:rPr>
        <w:t>.</w:t>
      </w:r>
    </w:p>
    <w:p w14:paraId="5E8904B7" w14:textId="77777777" w:rsidR="00A569C7" w:rsidRPr="0077192B" w:rsidRDefault="00A569C7" w:rsidP="00A569C7">
      <w:pPr>
        <w:pStyle w:val="Bodytext1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986D66B" w14:textId="77777777" w:rsidR="00A569C7" w:rsidRPr="0077192B" w:rsidRDefault="00A569C7" w:rsidP="00A569C7">
      <w:pPr>
        <w:pStyle w:val="PargrafodaLista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bookmarkStart w:id="4" w:name="bookmark33"/>
      <w:r w:rsidRPr="0077192B">
        <w:rPr>
          <w:rFonts w:asciiTheme="minorHAnsi" w:hAnsiTheme="minorHAnsi" w:cstheme="minorHAnsi"/>
          <w:b/>
        </w:rPr>
        <w:t>Tratamento de águas residuais</w:t>
      </w:r>
    </w:p>
    <w:bookmarkEnd w:id="4"/>
    <w:p w14:paraId="54DC9CF6" w14:textId="02D3EFDF" w:rsidR="00A569C7" w:rsidRPr="0077192B" w:rsidRDefault="00A569C7" w:rsidP="00A569C7">
      <w:pPr>
        <w:pStyle w:val="Bodytext10"/>
        <w:ind w:left="360"/>
        <w:jc w:val="both"/>
        <w:rPr>
          <w:rStyle w:val="Bodytext1"/>
          <w:rFonts w:asciiTheme="minorHAnsi" w:hAnsiTheme="minorHAnsi" w:cstheme="minorHAnsi"/>
          <w:bCs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bCs/>
          <w:sz w:val="22"/>
          <w:szCs w:val="22"/>
        </w:rPr>
        <w:t xml:space="preserve">Qual o volume de águas residuais recebidas </w:t>
      </w:r>
      <w:r w:rsidR="00734694" w:rsidRPr="0077192B">
        <w:rPr>
          <w:rStyle w:val="Bodytext1"/>
          <w:rFonts w:asciiTheme="minorHAnsi" w:hAnsiTheme="minorHAnsi" w:cstheme="minorHAnsi"/>
          <w:bCs/>
          <w:sz w:val="22"/>
          <w:szCs w:val="22"/>
        </w:rPr>
        <w:t xml:space="preserve">que </w:t>
      </w:r>
      <w:r w:rsidRPr="0077192B">
        <w:rPr>
          <w:rStyle w:val="Bodytext1"/>
          <w:rFonts w:asciiTheme="minorHAnsi" w:hAnsiTheme="minorHAnsi" w:cstheme="minorHAnsi"/>
          <w:bCs/>
          <w:sz w:val="22"/>
          <w:szCs w:val="22"/>
        </w:rPr>
        <w:t>deve ser tido em conta?</w:t>
      </w:r>
    </w:p>
    <w:p w14:paraId="2E7E7E42" w14:textId="52D31686" w:rsidR="00A569C7" w:rsidRPr="0077192B" w:rsidRDefault="00A569C7" w:rsidP="00A569C7">
      <w:pPr>
        <w:pStyle w:val="Bodytext10"/>
        <w:ind w:left="360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De acordo com a definição constante da Decisão de Execução do Conselho, o </w:t>
      </w:r>
      <w:r w:rsidR="00E779C0" w:rsidRPr="0077192B">
        <w:rPr>
          <w:rStyle w:val="Bodytext1"/>
          <w:rFonts w:asciiTheme="minorHAnsi" w:hAnsiTheme="minorHAnsi" w:cstheme="minorHAnsi"/>
          <w:sz w:val="22"/>
          <w:szCs w:val="22"/>
        </w:rPr>
        <w:t>valor a considerar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 é o volume de água que entra nas operações de tratamento da instalação de tratamento de águas residuais em causa.</w:t>
      </w:r>
    </w:p>
    <w:p w14:paraId="45BE6B3D" w14:textId="77777777" w:rsidR="00A569C7" w:rsidRPr="0077192B" w:rsidRDefault="00A569C7" w:rsidP="00A569C7">
      <w:pPr>
        <w:pStyle w:val="Bodytext10"/>
        <w:ind w:left="360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</w:p>
    <w:p w14:paraId="3524E504" w14:textId="77777777" w:rsidR="00A569C7" w:rsidRPr="0077192B" w:rsidRDefault="00A569C7" w:rsidP="00A569C7">
      <w:pPr>
        <w:pStyle w:val="PargrafodaLista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</w:rPr>
      </w:pPr>
      <w:bookmarkStart w:id="5" w:name="bookmark37"/>
      <w:r w:rsidRPr="0077192B">
        <w:rPr>
          <w:rFonts w:asciiTheme="minorHAnsi" w:hAnsiTheme="minorHAnsi" w:cstheme="minorHAnsi"/>
          <w:b/>
          <w:bCs/>
        </w:rPr>
        <w:t xml:space="preserve">Criação Animal </w:t>
      </w:r>
    </w:p>
    <w:p w14:paraId="6372ACD5" w14:textId="2A22EBE8" w:rsidR="00A569C7" w:rsidRPr="0077192B" w:rsidRDefault="00A569C7" w:rsidP="00A569C7">
      <w:pPr>
        <w:pStyle w:val="Bodytext10"/>
        <w:numPr>
          <w:ilvl w:val="0"/>
          <w:numId w:val="11"/>
        </w:numPr>
        <w:jc w:val="both"/>
        <w:rPr>
          <w:rStyle w:val="Heading21"/>
          <w:rFonts w:asciiTheme="minorHAnsi" w:hAnsiTheme="minorHAnsi" w:cstheme="minorHAnsi"/>
          <w:sz w:val="22"/>
          <w:szCs w:val="22"/>
        </w:rPr>
      </w:pPr>
      <w:r w:rsidRPr="0077192B">
        <w:rPr>
          <w:rStyle w:val="Heading21"/>
          <w:rFonts w:asciiTheme="minorHAnsi" w:hAnsiTheme="minorHAnsi" w:cstheme="minorHAnsi"/>
          <w:sz w:val="22"/>
          <w:szCs w:val="22"/>
        </w:rPr>
        <w:t>Deve</w:t>
      </w:r>
      <w:r w:rsidR="00734694" w:rsidRPr="0077192B">
        <w:rPr>
          <w:rStyle w:val="Heading21"/>
          <w:rFonts w:asciiTheme="minorHAnsi" w:hAnsiTheme="minorHAnsi" w:cstheme="minorHAnsi"/>
          <w:sz w:val="22"/>
          <w:szCs w:val="22"/>
        </w:rPr>
        <w:t>m</w:t>
      </w:r>
      <w:r w:rsidRPr="0077192B">
        <w:rPr>
          <w:rStyle w:val="Heading21"/>
          <w:rFonts w:asciiTheme="minorHAnsi" w:hAnsiTheme="minorHAnsi" w:cstheme="minorHAnsi"/>
          <w:sz w:val="22"/>
          <w:szCs w:val="22"/>
        </w:rPr>
        <w:t xml:space="preserve"> considerar-se «locais para animais» ou «animais presentes durante o ano de referência» ao comunicar o volume de produção?</w:t>
      </w:r>
      <w:bookmarkEnd w:id="5"/>
    </w:p>
    <w:p w14:paraId="415D542D" w14:textId="77777777" w:rsidR="00A569C7" w:rsidRPr="0077192B" w:rsidRDefault="00A569C7" w:rsidP="00A569C7">
      <w:pPr>
        <w:pStyle w:val="Bodytext10"/>
        <w:ind w:left="708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sz w:val="22"/>
          <w:szCs w:val="22"/>
        </w:rPr>
        <w:t>Aqui o conceito de capacidade efetiva é distinto da capacidade instalada. Neste contexto, deve ter-se em conta a produção total (produção – animais presentes durante o ano de referência) e não os lugares para animais (capacidade) disponíveis</w:t>
      </w:r>
      <w:bookmarkStart w:id="6" w:name="bookmark39"/>
      <w:r w:rsidRPr="0077192B">
        <w:rPr>
          <w:rStyle w:val="Bodytext1"/>
          <w:rFonts w:asciiTheme="minorHAnsi" w:hAnsiTheme="minorHAnsi" w:cstheme="minorHAnsi"/>
          <w:sz w:val="22"/>
          <w:szCs w:val="22"/>
        </w:rPr>
        <w:t>.</w:t>
      </w:r>
    </w:p>
    <w:p w14:paraId="3473124C" w14:textId="77777777" w:rsidR="00A569C7" w:rsidRPr="0077192B" w:rsidRDefault="00A569C7" w:rsidP="00A569C7">
      <w:pPr>
        <w:pStyle w:val="Bodytext10"/>
        <w:ind w:left="708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</w:p>
    <w:p w14:paraId="3D91C02E" w14:textId="356A9D38" w:rsidR="00A569C7" w:rsidRPr="0077192B" w:rsidRDefault="00A569C7" w:rsidP="00A569C7">
      <w:pPr>
        <w:pStyle w:val="Bodytext10"/>
        <w:numPr>
          <w:ilvl w:val="0"/>
          <w:numId w:val="11"/>
        </w:numPr>
        <w:jc w:val="both"/>
        <w:rPr>
          <w:rStyle w:val="Heading21"/>
          <w:rFonts w:asciiTheme="minorHAnsi" w:hAnsiTheme="minorHAnsi" w:cstheme="minorHAnsi"/>
          <w:sz w:val="22"/>
          <w:szCs w:val="22"/>
        </w:rPr>
      </w:pPr>
      <w:r w:rsidRPr="0077192B">
        <w:rPr>
          <w:rStyle w:val="Heading21"/>
          <w:rFonts w:asciiTheme="minorHAnsi" w:hAnsiTheme="minorHAnsi" w:cstheme="minorHAnsi"/>
          <w:sz w:val="22"/>
          <w:szCs w:val="22"/>
        </w:rPr>
        <w:t xml:space="preserve">No caso de uma exploração mista com um limiar de capacidade excedido apenas </w:t>
      </w:r>
      <w:r w:rsidR="00734694" w:rsidRPr="0077192B">
        <w:rPr>
          <w:rStyle w:val="Heading21"/>
          <w:rFonts w:asciiTheme="minorHAnsi" w:hAnsiTheme="minorHAnsi" w:cstheme="minorHAnsi"/>
          <w:sz w:val="22"/>
          <w:szCs w:val="22"/>
        </w:rPr>
        <w:t xml:space="preserve">para </w:t>
      </w:r>
      <w:r w:rsidRPr="0077192B">
        <w:rPr>
          <w:rStyle w:val="Heading21"/>
          <w:rFonts w:asciiTheme="minorHAnsi" w:hAnsiTheme="minorHAnsi" w:cstheme="minorHAnsi"/>
          <w:sz w:val="22"/>
          <w:szCs w:val="22"/>
        </w:rPr>
        <w:t>um tipo de animal, o que deve ser comunicado?</w:t>
      </w:r>
      <w:bookmarkEnd w:id="6"/>
    </w:p>
    <w:p w14:paraId="1B8684FF" w14:textId="4F0DF39E" w:rsidR="00A569C7" w:rsidRPr="0077192B" w:rsidRDefault="00A569C7" w:rsidP="00A569C7">
      <w:pPr>
        <w:pStyle w:val="Bodytext1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De acordo com a Diretiva Emissões Industriais (DEI), existem regras de agregação </w:t>
      </w:r>
      <w:r w:rsidR="00E779C0"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para as atividades abrangidas, 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>no entanto, e tal como referido pela Comissão em orientações anteriores estas regras de agregação não se aplicam a diferentes animais.</w:t>
      </w:r>
    </w:p>
    <w:p w14:paraId="12A8EDC7" w14:textId="6DBE8502" w:rsidR="00A569C7" w:rsidRPr="0077192B" w:rsidRDefault="00A569C7" w:rsidP="00A569C7">
      <w:pPr>
        <w:pStyle w:val="Bodytext10"/>
        <w:ind w:left="708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sz w:val="22"/>
          <w:szCs w:val="22"/>
        </w:rPr>
        <w:t>Isto significa que, se a exploração só exceder o limiar para um tipo de animal, considera-se que exerce essa atividade principal. Em Portugal apenas está a ser recolhido o valor referente à atividade principal. No entanto</w:t>
      </w:r>
      <w:r w:rsidR="00734694" w:rsidRPr="0077192B">
        <w:rPr>
          <w:rStyle w:val="Bodytext1"/>
          <w:rFonts w:asciiTheme="minorHAnsi" w:hAnsiTheme="minorHAnsi" w:cstheme="minorHAnsi"/>
          <w:sz w:val="22"/>
          <w:szCs w:val="22"/>
        </w:rPr>
        <w:t>,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 a criação dos restantes animais é considerada uma atividade diretamente associada da exploração abrangida pela DEI</w:t>
      </w:r>
      <w:r w:rsidR="00E779C0"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, 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>uma vez que contribui para as suas emissões e para o impacto ambiental da instalação, devendo as emissões daí provenientes, ser</w:t>
      </w:r>
      <w:r w:rsidR="00734694" w:rsidRPr="0077192B">
        <w:rPr>
          <w:rStyle w:val="Bodytext1"/>
          <w:rFonts w:asciiTheme="minorHAnsi" w:hAnsiTheme="minorHAnsi" w:cstheme="minorHAnsi"/>
          <w:sz w:val="22"/>
          <w:szCs w:val="22"/>
        </w:rPr>
        <w:t>em</w:t>
      </w:r>
      <w:r w:rsidRPr="0077192B">
        <w:rPr>
          <w:rStyle w:val="Bodytext1"/>
          <w:rFonts w:asciiTheme="minorHAnsi" w:hAnsiTheme="minorHAnsi" w:cstheme="minorHAnsi"/>
          <w:sz w:val="22"/>
          <w:szCs w:val="22"/>
        </w:rPr>
        <w:t xml:space="preserve"> recolhidas.</w:t>
      </w:r>
    </w:p>
    <w:p w14:paraId="75B6952D" w14:textId="77777777" w:rsidR="00A569C7" w:rsidRDefault="00A569C7" w:rsidP="00A569C7">
      <w:pPr>
        <w:pStyle w:val="Bodytext1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885CDCA" w14:textId="70C5A9B9" w:rsidR="00A569C7" w:rsidRPr="0077192B" w:rsidRDefault="00A569C7" w:rsidP="00A569C7">
      <w:pPr>
        <w:pStyle w:val="Bodytext10"/>
        <w:numPr>
          <w:ilvl w:val="0"/>
          <w:numId w:val="11"/>
        </w:numPr>
        <w:jc w:val="both"/>
        <w:rPr>
          <w:rStyle w:val="Heading21"/>
          <w:rFonts w:asciiTheme="minorHAnsi" w:hAnsiTheme="minorHAnsi" w:cstheme="minorHAnsi"/>
          <w:bCs/>
          <w:sz w:val="22"/>
          <w:szCs w:val="22"/>
        </w:rPr>
      </w:pPr>
      <w:r w:rsidRPr="0077192B">
        <w:rPr>
          <w:rStyle w:val="Heading21"/>
          <w:rFonts w:asciiTheme="minorHAnsi" w:hAnsiTheme="minorHAnsi" w:cstheme="minorHAnsi"/>
          <w:bCs/>
          <w:sz w:val="22"/>
          <w:szCs w:val="22"/>
        </w:rPr>
        <w:t>Quais são os fatores de conversão aplicáveis às LSU</w:t>
      </w:r>
      <w:r w:rsidR="008602F6">
        <w:rPr>
          <w:rStyle w:val="Heading21"/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="008602F6">
        <w:rPr>
          <w:rStyle w:val="Heading21"/>
          <w:rFonts w:asciiTheme="minorHAnsi" w:hAnsiTheme="minorHAnsi" w:cstheme="minorHAnsi"/>
          <w:bCs/>
          <w:sz w:val="22"/>
          <w:szCs w:val="22"/>
        </w:rPr>
        <w:t>Livestock</w:t>
      </w:r>
      <w:proofErr w:type="spellEnd"/>
      <w:r w:rsidR="008602F6">
        <w:rPr>
          <w:rStyle w:val="Heading21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602F6">
        <w:rPr>
          <w:rStyle w:val="Heading21"/>
          <w:rFonts w:asciiTheme="minorHAnsi" w:hAnsiTheme="minorHAnsi" w:cstheme="minorHAnsi"/>
          <w:bCs/>
          <w:sz w:val="22"/>
          <w:szCs w:val="22"/>
        </w:rPr>
        <w:t>Unit</w:t>
      </w:r>
      <w:proofErr w:type="spellEnd"/>
      <w:r w:rsidR="00591FF9">
        <w:rPr>
          <w:rStyle w:val="Heading21"/>
          <w:rFonts w:asciiTheme="minorHAnsi" w:hAnsiTheme="minorHAnsi" w:cstheme="minorHAnsi"/>
          <w:bCs/>
          <w:sz w:val="22"/>
          <w:szCs w:val="22"/>
        </w:rPr>
        <w:t xml:space="preserve"> – em Portugal Cabeças Normais</w:t>
      </w:r>
      <w:r w:rsidR="008602F6">
        <w:rPr>
          <w:rStyle w:val="Heading21"/>
          <w:rFonts w:asciiTheme="minorHAnsi" w:hAnsiTheme="minorHAnsi" w:cstheme="minorHAnsi"/>
          <w:bCs/>
          <w:sz w:val="22"/>
          <w:szCs w:val="22"/>
        </w:rPr>
        <w:t>)</w:t>
      </w:r>
      <w:r w:rsidRPr="0077192B">
        <w:rPr>
          <w:rStyle w:val="Heading21"/>
          <w:rFonts w:asciiTheme="minorHAnsi" w:hAnsiTheme="minorHAnsi" w:cstheme="minorHAnsi"/>
          <w:bCs/>
          <w:sz w:val="22"/>
          <w:szCs w:val="22"/>
        </w:rPr>
        <w:t>: os mencionados na Decisão de Execução 2022/142 da Comissão, tal como incluídos no anexo II do Regulamento de Execução (UE) n.º 808/2014 da Comissão, ou os mencionados na DEI 2.0 (Diretiva 2024/1785 que altera a Diretiva 2010/75/UE)?</w:t>
      </w:r>
    </w:p>
    <w:p w14:paraId="4034B4B2" w14:textId="77777777" w:rsidR="00A569C7" w:rsidRPr="0077192B" w:rsidRDefault="00A569C7" w:rsidP="00A569C7">
      <w:pPr>
        <w:pStyle w:val="Bodytext10"/>
        <w:spacing w:after="0"/>
        <w:ind w:left="372" w:firstLine="708"/>
        <w:jc w:val="both"/>
        <w:rPr>
          <w:rStyle w:val="Bodytext1"/>
          <w:rFonts w:asciiTheme="minorHAnsi" w:hAnsiTheme="minorHAnsi" w:cstheme="minorHAnsi"/>
          <w:sz w:val="22"/>
          <w:szCs w:val="22"/>
        </w:rPr>
      </w:pPr>
      <w:r w:rsidRPr="0077192B">
        <w:rPr>
          <w:rStyle w:val="Bodytext1"/>
          <w:rFonts w:asciiTheme="minorHAnsi" w:hAnsiTheme="minorHAnsi" w:cstheme="minorHAnsi"/>
          <w:sz w:val="22"/>
          <w:szCs w:val="22"/>
        </w:rPr>
        <w:t>Os fatores mencionados na DEI 2.0 prevalecem e devem ser utilizados.</w:t>
      </w:r>
    </w:p>
    <w:p w14:paraId="4104E34F" w14:textId="2461E397" w:rsidR="00A569C7" w:rsidRPr="0077192B" w:rsidRDefault="00A569C7" w:rsidP="00A569C7">
      <w:pPr>
        <w:pStyle w:val="Bodytext10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77192B">
        <w:rPr>
          <w:rFonts w:asciiTheme="minorHAnsi" w:hAnsiTheme="minorHAnsi" w:cstheme="minorHAnsi"/>
          <w:sz w:val="22"/>
          <w:szCs w:val="22"/>
        </w:rPr>
        <w:t>O valor em Cabeças Normais</w:t>
      </w:r>
      <w:r w:rsidR="00591FF9">
        <w:rPr>
          <w:rFonts w:asciiTheme="minorHAnsi" w:hAnsiTheme="minorHAnsi" w:cstheme="minorHAnsi"/>
          <w:sz w:val="22"/>
          <w:szCs w:val="22"/>
        </w:rPr>
        <w:t xml:space="preserve"> (LSU)</w:t>
      </w:r>
      <w:r w:rsidRPr="0077192B">
        <w:rPr>
          <w:rFonts w:asciiTheme="minorHAnsi" w:hAnsiTheme="minorHAnsi" w:cstheme="minorHAnsi"/>
          <w:sz w:val="22"/>
          <w:szCs w:val="22"/>
        </w:rPr>
        <w:t xml:space="preserve"> de uma instalação é calculado utilizando as seguintes taxas de conversão: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2835"/>
        <w:gridCol w:w="1554"/>
      </w:tblGrid>
      <w:tr w:rsidR="005805AF" w14:paraId="7E02B073" w14:textId="77777777" w:rsidTr="004F3757">
        <w:tc>
          <w:tcPr>
            <w:tcW w:w="2830" w:type="dxa"/>
          </w:tcPr>
          <w:p w14:paraId="71E89CF9" w14:textId="793F9B1D" w:rsidR="005805AF" w:rsidRPr="004F3757" w:rsidRDefault="00B67F1A" w:rsidP="004F3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F3757">
              <w:rPr>
                <w:rFonts w:asciiTheme="minorHAnsi" w:hAnsiTheme="minorHAnsi" w:cstheme="minorHAnsi"/>
                <w:b/>
                <w:bCs/>
              </w:rPr>
              <w:t>Suínos</w:t>
            </w:r>
          </w:p>
        </w:tc>
        <w:tc>
          <w:tcPr>
            <w:tcW w:w="1560" w:type="dxa"/>
          </w:tcPr>
          <w:p w14:paraId="03DAF5D8" w14:textId="4F238875" w:rsidR="005805AF" w:rsidRPr="004F3757" w:rsidRDefault="004F3757" w:rsidP="004F3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F3757">
              <w:rPr>
                <w:rFonts w:asciiTheme="minorHAnsi" w:hAnsiTheme="minorHAnsi" w:cstheme="minorHAnsi"/>
                <w:b/>
                <w:bCs/>
              </w:rPr>
              <w:t>Fator a usar</w:t>
            </w:r>
          </w:p>
        </w:tc>
        <w:tc>
          <w:tcPr>
            <w:tcW w:w="2835" w:type="dxa"/>
          </w:tcPr>
          <w:p w14:paraId="02161CD7" w14:textId="184DBC5B" w:rsidR="005805AF" w:rsidRPr="00B67F1A" w:rsidRDefault="00B67F1A" w:rsidP="004F3757">
            <w:pPr>
              <w:pStyle w:val="Bodytext10"/>
              <w:spacing w:after="0"/>
              <w:ind w:left="-8" w:firstLine="8"/>
              <w:rPr>
                <w:rFonts w:asciiTheme="minorHAnsi" w:hAnsiTheme="minorHAnsi" w:cstheme="minorHAnsi"/>
                <w:sz w:val="22"/>
                <w:szCs w:val="22"/>
              </w:rPr>
            </w:pPr>
            <w:r w:rsidRPr="00771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Aves de capoeira</w:t>
            </w:r>
          </w:p>
        </w:tc>
        <w:tc>
          <w:tcPr>
            <w:tcW w:w="1554" w:type="dxa"/>
          </w:tcPr>
          <w:p w14:paraId="255D0E84" w14:textId="506A47B5" w:rsidR="005805AF" w:rsidRPr="004F3757" w:rsidRDefault="004F3757" w:rsidP="004F3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F3757">
              <w:rPr>
                <w:rFonts w:asciiTheme="minorHAnsi" w:hAnsiTheme="minorHAnsi" w:cstheme="minorHAnsi"/>
                <w:b/>
                <w:bCs/>
              </w:rPr>
              <w:t>Fator a usar</w:t>
            </w:r>
          </w:p>
        </w:tc>
      </w:tr>
      <w:tr w:rsidR="005805AF" w14:paraId="3ADC2998" w14:textId="77777777" w:rsidTr="004F3757">
        <w:tc>
          <w:tcPr>
            <w:tcW w:w="2830" w:type="dxa"/>
          </w:tcPr>
          <w:p w14:paraId="48381C18" w14:textId="506DB978" w:rsidR="005805AF" w:rsidRDefault="00B67F1A" w:rsidP="004F3757">
            <w:pPr>
              <w:pStyle w:val="Bodytext10"/>
              <w:spacing w:after="0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  <w:sz w:val="22"/>
                <w:szCs w:val="22"/>
              </w:rPr>
              <w:t xml:space="preserve">Porcas reprodutoras ≥ 50 kg </w:t>
            </w:r>
          </w:p>
        </w:tc>
        <w:tc>
          <w:tcPr>
            <w:tcW w:w="1560" w:type="dxa"/>
          </w:tcPr>
          <w:p w14:paraId="2B9AA959" w14:textId="689FE864" w:rsidR="005805AF" w:rsidRDefault="00B67F1A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0,500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5F92FF" w14:textId="284E69B0" w:rsidR="005805AF" w:rsidRPr="004F3757" w:rsidRDefault="00B67F1A" w:rsidP="004F3757">
            <w:pPr>
              <w:pStyle w:val="Bodytext10"/>
              <w:spacing w:after="0"/>
              <w:ind w:left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192B">
              <w:rPr>
                <w:rFonts w:asciiTheme="minorHAnsi" w:hAnsiTheme="minorHAnsi" w:cstheme="minorHAnsi"/>
                <w:sz w:val="22"/>
                <w:szCs w:val="22"/>
              </w:rPr>
              <w:t>Frangos</w:t>
            </w:r>
          </w:p>
        </w:tc>
        <w:tc>
          <w:tcPr>
            <w:tcW w:w="1554" w:type="dxa"/>
          </w:tcPr>
          <w:p w14:paraId="58972E68" w14:textId="5DCB358C" w:rsidR="005805AF" w:rsidRDefault="004F3757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0,007</w:t>
            </w:r>
          </w:p>
        </w:tc>
      </w:tr>
      <w:tr w:rsidR="005805AF" w14:paraId="7509673E" w14:textId="77777777" w:rsidTr="004F3757">
        <w:tc>
          <w:tcPr>
            <w:tcW w:w="2830" w:type="dxa"/>
            <w:tcBorders>
              <w:bottom w:val="single" w:sz="4" w:space="0" w:color="auto"/>
            </w:tcBorders>
          </w:tcPr>
          <w:p w14:paraId="2B346F95" w14:textId="5F49F1CD" w:rsidR="005805AF" w:rsidRDefault="00B67F1A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Leitões ≤ 20 kg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5A965EC" w14:textId="227505B2" w:rsidR="005805AF" w:rsidRDefault="00B67F1A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0,027</w:t>
            </w:r>
          </w:p>
        </w:tc>
        <w:tc>
          <w:tcPr>
            <w:tcW w:w="2835" w:type="dxa"/>
          </w:tcPr>
          <w:p w14:paraId="1EB7CA74" w14:textId="666842EE" w:rsidR="005805AF" w:rsidRDefault="004F3757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Galinhas poedeiras</w:t>
            </w:r>
          </w:p>
        </w:tc>
        <w:tc>
          <w:tcPr>
            <w:tcW w:w="1554" w:type="dxa"/>
          </w:tcPr>
          <w:p w14:paraId="0BDE9511" w14:textId="0BCBC3FC" w:rsidR="005805AF" w:rsidRDefault="004F3757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0,014</w:t>
            </w:r>
          </w:p>
        </w:tc>
      </w:tr>
      <w:tr w:rsidR="005805AF" w14:paraId="1C4C7387" w14:textId="77777777" w:rsidTr="004F3757">
        <w:tc>
          <w:tcPr>
            <w:tcW w:w="2830" w:type="dxa"/>
            <w:tcBorders>
              <w:bottom w:val="single" w:sz="4" w:space="0" w:color="auto"/>
            </w:tcBorders>
          </w:tcPr>
          <w:p w14:paraId="04CAACF7" w14:textId="32CE3C63" w:rsidR="005805AF" w:rsidRDefault="00B67F1A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Outros suínos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E5A2185" w14:textId="4668ABF6" w:rsidR="005805AF" w:rsidRDefault="00B67F1A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0,300</w:t>
            </w:r>
          </w:p>
        </w:tc>
        <w:tc>
          <w:tcPr>
            <w:tcW w:w="2835" w:type="dxa"/>
          </w:tcPr>
          <w:p w14:paraId="12C4E873" w14:textId="6FA3F503" w:rsidR="005805AF" w:rsidRDefault="004F3757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Perus</w:t>
            </w:r>
          </w:p>
        </w:tc>
        <w:tc>
          <w:tcPr>
            <w:tcW w:w="1554" w:type="dxa"/>
          </w:tcPr>
          <w:p w14:paraId="27164471" w14:textId="22C1C101" w:rsidR="005805AF" w:rsidRDefault="004F3757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0,030</w:t>
            </w:r>
          </w:p>
        </w:tc>
      </w:tr>
      <w:tr w:rsidR="005805AF" w14:paraId="28EC58C8" w14:textId="77777777" w:rsidTr="004F3757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8B8AB" w14:textId="77777777" w:rsidR="005805AF" w:rsidRDefault="005805AF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D13B8E" w14:textId="77777777" w:rsidR="005805AF" w:rsidRDefault="005805AF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8E6A2B6" w14:textId="46EDA129" w:rsidR="005805AF" w:rsidRDefault="004F3757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Patos</w:t>
            </w:r>
          </w:p>
        </w:tc>
        <w:tc>
          <w:tcPr>
            <w:tcW w:w="1554" w:type="dxa"/>
          </w:tcPr>
          <w:p w14:paraId="32FCD7B7" w14:textId="29FE5A53" w:rsidR="005805AF" w:rsidRDefault="004F3757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0,010</w:t>
            </w:r>
          </w:p>
        </w:tc>
      </w:tr>
      <w:tr w:rsidR="00B67F1A" w14:paraId="431A2E6B" w14:textId="77777777" w:rsidTr="004F375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8BE71EB" w14:textId="77777777" w:rsidR="00B67F1A" w:rsidRDefault="00B67F1A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50AE1" w14:textId="77777777" w:rsidR="00B67F1A" w:rsidRDefault="00B67F1A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11F30A7" w14:textId="2633B389" w:rsidR="00B67F1A" w:rsidRDefault="004F3757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Gansos</w:t>
            </w:r>
          </w:p>
        </w:tc>
        <w:tc>
          <w:tcPr>
            <w:tcW w:w="1554" w:type="dxa"/>
          </w:tcPr>
          <w:p w14:paraId="549A6B7B" w14:textId="48FE844D" w:rsidR="00B67F1A" w:rsidRDefault="004F3757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0,020</w:t>
            </w:r>
          </w:p>
        </w:tc>
      </w:tr>
      <w:tr w:rsidR="00B67F1A" w14:paraId="7FA75BC4" w14:textId="77777777" w:rsidTr="004F375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CA7BCE2" w14:textId="77777777" w:rsidR="00B67F1A" w:rsidRDefault="00B67F1A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61BD8" w14:textId="77777777" w:rsidR="00B67F1A" w:rsidRDefault="00B67F1A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66FD1E" w14:textId="635A88FD" w:rsidR="00B67F1A" w:rsidRDefault="004F3757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Avestruzes</w:t>
            </w:r>
          </w:p>
        </w:tc>
        <w:tc>
          <w:tcPr>
            <w:tcW w:w="1554" w:type="dxa"/>
          </w:tcPr>
          <w:p w14:paraId="750944F5" w14:textId="7391A404" w:rsidR="00B67F1A" w:rsidRDefault="004F3757" w:rsidP="004F3757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0,350</w:t>
            </w:r>
          </w:p>
        </w:tc>
      </w:tr>
      <w:tr w:rsidR="005805AF" w14:paraId="11DC7A96" w14:textId="77777777" w:rsidTr="004F375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E16A735" w14:textId="77777777" w:rsidR="005805AF" w:rsidRDefault="005805AF" w:rsidP="004F3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958B9" w14:textId="77777777" w:rsidR="005805AF" w:rsidRDefault="005805AF" w:rsidP="004F3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56D7B16" w14:textId="0B7F20C6" w:rsidR="005805AF" w:rsidRDefault="004F3757" w:rsidP="004F3757">
            <w:pPr>
              <w:pStyle w:val="Bodytext10"/>
              <w:spacing w:after="0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  <w:sz w:val="22"/>
                <w:szCs w:val="22"/>
              </w:rPr>
              <w:t xml:space="preserve">Outras aves de capoeira </w:t>
            </w:r>
          </w:p>
        </w:tc>
        <w:tc>
          <w:tcPr>
            <w:tcW w:w="1554" w:type="dxa"/>
          </w:tcPr>
          <w:p w14:paraId="3417D894" w14:textId="3DD9C519" w:rsidR="005805AF" w:rsidRDefault="004F3757" w:rsidP="004F3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7192B">
              <w:rPr>
                <w:rFonts w:asciiTheme="minorHAnsi" w:hAnsiTheme="minorHAnsi" w:cstheme="minorHAnsi"/>
              </w:rPr>
              <w:t>0,001</w:t>
            </w:r>
          </w:p>
        </w:tc>
      </w:tr>
    </w:tbl>
    <w:p w14:paraId="2BD5700F" w14:textId="77777777" w:rsidR="00A569C7" w:rsidRPr="0077192B" w:rsidRDefault="00A569C7" w:rsidP="00601BCF">
      <w:pPr>
        <w:autoSpaceDE w:val="0"/>
        <w:autoSpaceDN w:val="0"/>
        <w:adjustRightInd w:val="0"/>
        <w:spacing w:before="120" w:after="480" w:line="240" w:lineRule="auto"/>
        <w:jc w:val="both"/>
        <w:rPr>
          <w:rFonts w:asciiTheme="minorHAnsi" w:hAnsiTheme="minorHAnsi" w:cstheme="minorHAnsi"/>
        </w:rPr>
      </w:pPr>
    </w:p>
    <w:p w14:paraId="385312CD" w14:textId="77777777" w:rsidR="00A569C7" w:rsidRPr="0077192B" w:rsidRDefault="00A569C7" w:rsidP="00601BCF">
      <w:pPr>
        <w:autoSpaceDE w:val="0"/>
        <w:autoSpaceDN w:val="0"/>
        <w:adjustRightInd w:val="0"/>
        <w:spacing w:before="120" w:after="480" w:line="240" w:lineRule="auto"/>
        <w:jc w:val="both"/>
        <w:rPr>
          <w:rFonts w:asciiTheme="minorHAnsi" w:hAnsiTheme="minorHAnsi" w:cstheme="minorHAnsi"/>
        </w:rPr>
      </w:pPr>
    </w:p>
    <w:sectPr w:rsidR="00A569C7" w:rsidRPr="0077192B" w:rsidSect="002348CA">
      <w:headerReference w:type="default" r:id="rId11"/>
      <w:footerReference w:type="default" r:id="rId12"/>
      <w:pgSz w:w="11906" w:h="16838"/>
      <w:pgMar w:top="1418" w:right="141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A3D61" w14:textId="77777777" w:rsidR="00D80A53" w:rsidRDefault="00D80A53" w:rsidP="00D06A97">
      <w:pPr>
        <w:spacing w:after="0" w:line="240" w:lineRule="auto"/>
      </w:pPr>
      <w:r>
        <w:separator/>
      </w:r>
    </w:p>
  </w:endnote>
  <w:endnote w:type="continuationSeparator" w:id="0">
    <w:p w14:paraId="308F6899" w14:textId="77777777" w:rsidR="00D80A53" w:rsidRDefault="00D80A53" w:rsidP="00D0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3DC0" w14:textId="4CB8554A" w:rsidR="00A77334" w:rsidRDefault="00A77334" w:rsidP="00446ED0">
    <w:pPr>
      <w:pStyle w:val="Rodap"/>
      <w:pBdr>
        <w:bottom w:val="single" w:sz="6" w:space="1" w:color="auto"/>
      </w:pBdr>
      <w:rPr>
        <w:b/>
        <w:lang w:val="en-US"/>
      </w:rPr>
    </w:pPr>
  </w:p>
  <w:tbl>
    <w:tblPr>
      <w:tblW w:w="8676" w:type="dxa"/>
      <w:tblInd w:w="-34" w:type="dxa"/>
      <w:tblLayout w:type="fixed"/>
      <w:tblLook w:val="04A0" w:firstRow="1" w:lastRow="0" w:firstColumn="1" w:lastColumn="0" w:noHBand="0" w:noVBand="1"/>
    </w:tblPr>
    <w:tblGrid>
      <w:gridCol w:w="2723"/>
      <w:gridCol w:w="2835"/>
      <w:gridCol w:w="3118"/>
    </w:tblGrid>
    <w:tr w:rsidR="00446ED0" w:rsidRPr="0054233D" w14:paraId="0F384F58" w14:textId="77777777" w:rsidTr="00FB339A">
      <w:tc>
        <w:tcPr>
          <w:tcW w:w="2723" w:type="dxa"/>
          <w:hideMark/>
        </w:tcPr>
        <w:p w14:paraId="62927EB5" w14:textId="23BB25F6" w:rsidR="00446ED0" w:rsidRPr="00446ED0" w:rsidRDefault="00446ED0" w:rsidP="00446ED0">
          <w:pPr>
            <w:pStyle w:val="Rodap"/>
            <w:rPr>
              <w:b/>
            </w:rPr>
          </w:pPr>
          <w:r w:rsidRPr="00446ED0">
            <w:rPr>
              <w:b/>
              <w:noProof/>
              <w:lang w:val="en-GB"/>
            </w:rPr>
            <w:drawing>
              <wp:inline distT="0" distB="0" distL="0" distR="0" wp14:anchorId="0F8332A6" wp14:editId="41D1ABDD">
                <wp:extent cx="1314450" cy="647700"/>
                <wp:effectExtent l="0" t="0" r="0" b="0"/>
                <wp:docPr id="1599764674" name="Imagem 2" descr="Uma imagem com texto, Gráficos, Tipo de letra, logó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ma imagem com texto, Gráficos, Tipo de letra, logó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913D087" w14:textId="77777777" w:rsidR="00446ED0" w:rsidRPr="00446ED0" w:rsidRDefault="00446ED0" w:rsidP="00446ED0">
          <w:pPr>
            <w:pStyle w:val="Rodap"/>
            <w:rPr>
              <w:b/>
            </w:rPr>
          </w:pPr>
        </w:p>
      </w:tc>
      <w:tc>
        <w:tcPr>
          <w:tcW w:w="3118" w:type="dxa"/>
          <w:hideMark/>
        </w:tcPr>
        <w:p w14:paraId="69BD2B20" w14:textId="77777777" w:rsidR="00FB339A" w:rsidRDefault="00FB339A" w:rsidP="00FB339A">
          <w:pPr>
            <w:spacing w:after="0" w:line="360" w:lineRule="auto"/>
            <w:rPr>
              <w:b/>
              <w:sz w:val="14"/>
              <w:szCs w:val="14"/>
              <w:lang w:eastAsia="pt-PT"/>
            </w:rPr>
          </w:pPr>
          <w:r>
            <w:rPr>
              <w:b/>
              <w:sz w:val="14"/>
              <w:szCs w:val="14"/>
            </w:rPr>
            <w:t xml:space="preserve">Rua da </w:t>
          </w:r>
          <w:proofErr w:type="spellStart"/>
          <w:r>
            <w:rPr>
              <w:b/>
              <w:sz w:val="14"/>
              <w:szCs w:val="14"/>
            </w:rPr>
            <w:t>Murgueira</w:t>
          </w:r>
          <w:proofErr w:type="spellEnd"/>
          <w:r>
            <w:rPr>
              <w:b/>
              <w:sz w:val="14"/>
              <w:szCs w:val="14"/>
            </w:rPr>
            <w:t>, 9/9A – Zambujal</w:t>
          </w:r>
        </w:p>
        <w:p w14:paraId="192C6210" w14:textId="77777777" w:rsidR="00FB339A" w:rsidRDefault="00FB339A" w:rsidP="00FB339A">
          <w:pPr>
            <w:spacing w:after="0" w:line="360" w:lineRule="auto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Ap. 7585 – </w:t>
          </w:r>
          <w:r>
            <w:rPr>
              <w:b/>
              <w:sz w:val="12"/>
            </w:rPr>
            <w:t>2610-124</w:t>
          </w:r>
          <w:r>
            <w:t xml:space="preserve"> </w:t>
          </w:r>
          <w:r>
            <w:rPr>
              <w:b/>
              <w:sz w:val="14"/>
              <w:szCs w:val="14"/>
            </w:rPr>
            <w:t>Amadora</w:t>
          </w:r>
        </w:p>
        <w:p w14:paraId="56BAC7D1" w14:textId="77777777" w:rsidR="00FB339A" w:rsidRDefault="00FB339A" w:rsidP="00FB339A">
          <w:pPr>
            <w:spacing w:after="0" w:line="360" w:lineRule="auto"/>
            <w:rPr>
              <w:b/>
              <w:sz w:val="14"/>
              <w:szCs w:val="14"/>
              <w:lang w:val="en-US"/>
            </w:rPr>
          </w:pPr>
          <w:r>
            <w:rPr>
              <w:b/>
              <w:bCs/>
              <w:kern w:val="36"/>
              <w:sz w:val="14"/>
              <w:szCs w:val="14"/>
              <w:lang w:val="en-US"/>
            </w:rPr>
            <w:t xml:space="preserve">Tel: (351)21 472 82 00 </w:t>
          </w:r>
          <w:r>
            <w:rPr>
              <w:b/>
              <w:sz w:val="14"/>
              <w:szCs w:val="14"/>
              <w:lang w:val="en-US"/>
            </w:rPr>
            <w:t>Fax: (351)21 471 90 74</w:t>
          </w:r>
        </w:p>
        <w:p w14:paraId="748AE321" w14:textId="56908C1E" w:rsidR="00446ED0" w:rsidRPr="00446ED0" w:rsidRDefault="00FB339A" w:rsidP="00FB339A">
          <w:pPr>
            <w:pStyle w:val="Rodap"/>
            <w:rPr>
              <w:lang w:val="en-US"/>
            </w:rPr>
          </w:pPr>
          <w:r>
            <w:rPr>
              <w:b/>
              <w:sz w:val="14"/>
              <w:lang w:val="en-US"/>
            </w:rPr>
            <w:t xml:space="preserve">email: </w:t>
          </w:r>
          <w:hyperlink r:id="rId2" w:history="1">
            <w:r>
              <w:rPr>
                <w:rStyle w:val="Hiperligao"/>
                <w:b/>
                <w:sz w:val="14"/>
                <w:lang w:val="en-US"/>
              </w:rPr>
              <w:t>geral@apambiente.pt</w:t>
            </w:r>
          </w:hyperlink>
          <w:r>
            <w:rPr>
              <w:b/>
              <w:sz w:val="14"/>
              <w:lang w:val="en-US"/>
            </w:rPr>
            <w:t xml:space="preserve"> – http://apambiente.pt</w:t>
          </w:r>
        </w:p>
      </w:tc>
    </w:tr>
  </w:tbl>
  <w:p w14:paraId="380C3FBD" w14:textId="7511B441" w:rsidR="00B676D8" w:rsidRPr="00446ED0" w:rsidRDefault="00044969" w:rsidP="00044969">
    <w:pPr>
      <w:pStyle w:val="Rodap"/>
      <w:jc w:val="right"/>
      <w:rPr>
        <w:lang w:val="en-US"/>
      </w:rPr>
    </w:pPr>
    <w:r w:rsidRPr="00044969">
      <w:rPr>
        <w:lang w:val="en-US"/>
      </w:rPr>
      <w:fldChar w:fldCharType="begin"/>
    </w:r>
    <w:r w:rsidRPr="00044969">
      <w:rPr>
        <w:lang w:val="en-US"/>
      </w:rPr>
      <w:instrText>PAGE   \* MERGEFORMAT</w:instrText>
    </w:r>
    <w:r w:rsidRPr="00044969">
      <w:rPr>
        <w:lang w:val="en-US"/>
      </w:rPr>
      <w:fldChar w:fldCharType="separate"/>
    </w:r>
    <w:r w:rsidRPr="00044969">
      <w:rPr>
        <w:lang w:val="en-US"/>
      </w:rPr>
      <w:t>1</w:t>
    </w:r>
    <w:r w:rsidRPr="00044969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FA151" w14:textId="77777777" w:rsidR="00D80A53" w:rsidRDefault="00D80A53" w:rsidP="00D06A97">
      <w:pPr>
        <w:spacing w:after="0" w:line="240" w:lineRule="auto"/>
      </w:pPr>
      <w:r>
        <w:separator/>
      </w:r>
    </w:p>
  </w:footnote>
  <w:footnote w:type="continuationSeparator" w:id="0">
    <w:p w14:paraId="79345568" w14:textId="77777777" w:rsidR="00D80A53" w:rsidRDefault="00D80A53" w:rsidP="00D0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2A42C" w14:textId="5B471112" w:rsidR="007E7134" w:rsidRDefault="003F51D3" w:rsidP="00153884">
    <w:pPr>
      <w:pStyle w:val="Cabealho"/>
    </w:pPr>
    <w:r>
      <w:rPr>
        <w:noProof/>
      </w:rPr>
      <w:drawing>
        <wp:inline distT="0" distB="0" distL="0" distR="0" wp14:anchorId="5066C18B" wp14:editId="1544C6AC">
          <wp:extent cx="2913380" cy="835025"/>
          <wp:effectExtent l="0" t="0" r="1270" b="3175"/>
          <wp:docPr id="4" name="Imagem 2" descr="Uma imagem com texto, Tipo de letra, Gráficos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Uma imagem com texto, Tipo de letra, Gráficos, design gráfico&#10;&#10;Os conteúdos gerados por IA poderão estar incorretos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38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42EC84" w14:textId="77777777" w:rsidR="003F51D3" w:rsidRDefault="003F51D3" w:rsidP="00153884">
    <w:pPr>
      <w:pStyle w:val="Cabealho"/>
    </w:pPr>
  </w:p>
  <w:p w14:paraId="1357F940" w14:textId="77777777" w:rsidR="00FB339A" w:rsidRPr="00153884" w:rsidRDefault="00FB339A" w:rsidP="001538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6C5C"/>
    <w:multiLevelType w:val="hybridMultilevel"/>
    <w:tmpl w:val="07B76D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9F6C30"/>
    <w:multiLevelType w:val="hybridMultilevel"/>
    <w:tmpl w:val="80F828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91175F"/>
    <w:multiLevelType w:val="hybridMultilevel"/>
    <w:tmpl w:val="E582413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7E47"/>
    <w:multiLevelType w:val="hybridMultilevel"/>
    <w:tmpl w:val="7EE0C7EE"/>
    <w:lvl w:ilvl="0" w:tplc="08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8E09AA"/>
    <w:multiLevelType w:val="hybridMultilevel"/>
    <w:tmpl w:val="A912BDF8"/>
    <w:lvl w:ilvl="0" w:tplc="08C01FEA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9F6DAF"/>
    <w:multiLevelType w:val="hybridMultilevel"/>
    <w:tmpl w:val="80060B1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915E9F"/>
    <w:multiLevelType w:val="hybridMultilevel"/>
    <w:tmpl w:val="9634D1DA"/>
    <w:lvl w:ilvl="0" w:tplc="08C01FEA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274F5"/>
    <w:multiLevelType w:val="hybridMultilevel"/>
    <w:tmpl w:val="790C20B2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D165BFC"/>
    <w:multiLevelType w:val="hybridMultilevel"/>
    <w:tmpl w:val="3BC41EB4"/>
    <w:lvl w:ilvl="0" w:tplc="954276A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D64F539"/>
    <w:multiLevelType w:val="hybridMultilevel"/>
    <w:tmpl w:val="11F4B0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B8D364F"/>
    <w:multiLevelType w:val="hybridMultilevel"/>
    <w:tmpl w:val="4B9C375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48308162">
    <w:abstractNumId w:val="10"/>
  </w:num>
  <w:num w:numId="2" w16cid:durableId="751899105">
    <w:abstractNumId w:val="1"/>
  </w:num>
  <w:num w:numId="3" w16cid:durableId="1018848865">
    <w:abstractNumId w:val="0"/>
  </w:num>
  <w:num w:numId="4" w16cid:durableId="299844394">
    <w:abstractNumId w:val="9"/>
  </w:num>
  <w:num w:numId="5" w16cid:durableId="164593130">
    <w:abstractNumId w:val="4"/>
  </w:num>
  <w:num w:numId="6" w16cid:durableId="269438761">
    <w:abstractNumId w:val="7"/>
  </w:num>
  <w:num w:numId="7" w16cid:durableId="212547386">
    <w:abstractNumId w:val="6"/>
  </w:num>
  <w:num w:numId="8" w16cid:durableId="1417362170">
    <w:abstractNumId w:val="8"/>
  </w:num>
  <w:num w:numId="9" w16cid:durableId="1820421128">
    <w:abstractNumId w:val="5"/>
  </w:num>
  <w:num w:numId="10" w16cid:durableId="2034066062">
    <w:abstractNumId w:val="2"/>
  </w:num>
  <w:num w:numId="11" w16cid:durableId="802309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97"/>
    <w:rsid w:val="00006711"/>
    <w:rsid w:val="00011BFA"/>
    <w:rsid w:val="000137DD"/>
    <w:rsid w:val="000158F2"/>
    <w:rsid w:val="0001590D"/>
    <w:rsid w:val="00027713"/>
    <w:rsid w:val="00044969"/>
    <w:rsid w:val="0006529B"/>
    <w:rsid w:val="00065BFA"/>
    <w:rsid w:val="00073449"/>
    <w:rsid w:val="000A7C1F"/>
    <w:rsid w:val="000B1AFE"/>
    <w:rsid w:val="000B6F41"/>
    <w:rsid w:val="000C3DA9"/>
    <w:rsid w:val="001001A5"/>
    <w:rsid w:val="001167A9"/>
    <w:rsid w:val="00130567"/>
    <w:rsid w:val="00145188"/>
    <w:rsid w:val="00153884"/>
    <w:rsid w:val="001672AB"/>
    <w:rsid w:val="001703A3"/>
    <w:rsid w:val="001713CB"/>
    <w:rsid w:val="00183112"/>
    <w:rsid w:val="00183D1F"/>
    <w:rsid w:val="00191192"/>
    <w:rsid w:val="00194685"/>
    <w:rsid w:val="00195077"/>
    <w:rsid w:val="0019768D"/>
    <w:rsid w:val="001C5F6D"/>
    <w:rsid w:val="001C63F2"/>
    <w:rsid w:val="001D0F37"/>
    <w:rsid w:val="001E3EFB"/>
    <w:rsid w:val="0020770A"/>
    <w:rsid w:val="00210E8E"/>
    <w:rsid w:val="00215FE8"/>
    <w:rsid w:val="0023236F"/>
    <w:rsid w:val="002326CC"/>
    <w:rsid w:val="002348CA"/>
    <w:rsid w:val="0023524C"/>
    <w:rsid w:val="00244275"/>
    <w:rsid w:val="00246BA7"/>
    <w:rsid w:val="00251F44"/>
    <w:rsid w:val="002550EA"/>
    <w:rsid w:val="00262865"/>
    <w:rsid w:val="002706DA"/>
    <w:rsid w:val="002710AB"/>
    <w:rsid w:val="0029175B"/>
    <w:rsid w:val="002C5988"/>
    <w:rsid w:val="002C6336"/>
    <w:rsid w:val="002E5372"/>
    <w:rsid w:val="002E58A8"/>
    <w:rsid w:val="00321B70"/>
    <w:rsid w:val="003303ED"/>
    <w:rsid w:val="00337B96"/>
    <w:rsid w:val="00350E94"/>
    <w:rsid w:val="00365FC2"/>
    <w:rsid w:val="00367B63"/>
    <w:rsid w:val="00367F2B"/>
    <w:rsid w:val="003A48D1"/>
    <w:rsid w:val="003C0B44"/>
    <w:rsid w:val="003C6B0C"/>
    <w:rsid w:val="003C7BB5"/>
    <w:rsid w:val="003D1E2F"/>
    <w:rsid w:val="003D2E55"/>
    <w:rsid w:val="003E156E"/>
    <w:rsid w:val="003E4110"/>
    <w:rsid w:val="003F51D3"/>
    <w:rsid w:val="00413E51"/>
    <w:rsid w:val="00431F35"/>
    <w:rsid w:val="00436643"/>
    <w:rsid w:val="00446ED0"/>
    <w:rsid w:val="0045467C"/>
    <w:rsid w:val="00462E55"/>
    <w:rsid w:val="00474CBF"/>
    <w:rsid w:val="004A6794"/>
    <w:rsid w:val="004C7D56"/>
    <w:rsid w:val="004D7614"/>
    <w:rsid w:val="004E264B"/>
    <w:rsid w:val="004E3AF5"/>
    <w:rsid w:val="004F3757"/>
    <w:rsid w:val="005159B5"/>
    <w:rsid w:val="0052503B"/>
    <w:rsid w:val="005277E1"/>
    <w:rsid w:val="0054233D"/>
    <w:rsid w:val="005510E0"/>
    <w:rsid w:val="00561D3E"/>
    <w:rsid w:val="0057640A"/>
    <w:rsid w:val="005805AF"/>
    <w:rsid w:val="005847FE"/>
    <w:rsid w:val="00591FF9"/>
    <w:rsid w:val="005A4E06"/>
    <w:rsid w:val="005A5E16"/>
    <w:rsid w:val="005B2A83"/>
    <w:rsid w:val="005C69D0"/>
    <w:rsid w:val="00601BCF"/>
    <w:rsid w:val="006260C1"/>
    <w:rsid w:val="00627C09"/>
    <w:rsid w:val="006378FE"/>
    <w:rsid w:val="006554ED"/>
    <w:rsid w:val="00656D4C"/>
    <w:rsid w:val="00667B37"/>
    <w:rsid w:val="0067098E"/>
    <w:rsid w:val="006760DF"/>
    <w:rsid w:val="00696DBE"/>
    <w:rsid w:val="006B4BB2"/>
    <w:rsid w:val="006B7130"/>
    <w:rsid w:val="006C271B"/>
    <w:rsid w:val="006C374E"/>
    <w:rsid w:val="006C4310"/>
    <w:rsid w:val="006C6B79"/>
    <w:rsid w:val="006D13FC"/>
    <w:rsid w:val="006D6416"/>
    <w:rsid w:val="006F1186"/>
    <w:rsid w:val="006F7246"/>
    <w:rsid w:val="00704943"/>
    <w:rsid w:val="00711354"/>
    <w:rsid w:val="00725993"/>
    <w:rsid w:val="00733E37"/>
    <w:rsid w:val="00734694"/>
    <w:rsid w:val="007418F9"/>
    <w:rsid w:val="00741F68"/>
    <w:rsid w:val="0074515E"/>
    <w:rsid w:val="00764508"/>
    <w:rsid w:val="0077192B"/>
    <w:rsid w:val="00776B71"/>
    <w:rsid w:val="00781BD7"/>
    <w:rsid w:val="007833EC"/>
    <w:rsid w:val="00791852"/>
    <w:rsid w:val="007A78FF"/>
    <w:rsid w:val="007B2557"/>
    <w:rsid w:val="007B7071"/>
    <w:rsid w:val="007D4AAE"/>
    <w:rsid w:val="007D7B2D"/>
    <w:rsid w:val="007E7134"/>
    <w:rsid w:val="007F4A92"/>
    <w:rsid w:val="00820EBC"/>
    <w:rsid w:val="0082236A"/>
    <w:rsid w:val="00847F46"/>
    <w:rsid w:val="008602F6"/>
    <w:rsid w:val="008613E9"/>
    <w:rsid w:val="0086367A"/>
    <w:rsid w:val="00872BC7"/>
    <w:rsid w:val="00877AB5"/>
    <w:rsid w:val="00883AD2"/>
    <w:rsid w:val="00890493"/>
    <w:rsid w:val="00897FA9"/>
    <w:rsid w:val="008A549B"/>
    <w:rsid w:val="008A70B9"/>
    <w:rsid w:val="008A7BEC"/>
    <w:rsid w:val="008B586D"/>
    <w:rsid w:val="008B7329"/>
    <w:rsid w:val="008D6A89"/>
    <w:rsid w:val="008F13B3"/>
    <w:rsid w:val="008F50BC"/>
    <w:rsid w:val="0092753E"/>
    <w:rsid w:val="0093183E"/>
    <w:rsid w:val="009326AD"/>
    <w:rsid w:val="00933FE0"/>
    <w:rsid w:val="00942726"/>
    <w:rsid w:val="009501E9"/>
    <w:rsid w:val="009565A0"/>
    <w:rsid w:val="0096006A"/>
    <w:rsid w:val="00960232"/>
    <w:rsid w:val="0096082D"/>
    <w:rsid w:val="009664B9"/>
    <w:rsid w:val="009667C1"/>
    <w:rsid w:val="00974182"/>
    <w:rsid w:val="009809BE"/>
    <w:rsid w:val="0098251A"/>
    <w:rsid w:val="0099673A"/>
    <w:rsid w:val="00997CED"/>
    <w:rsid w:val="009B2D7E"/>
    <w:rsid w:val="009E796D"/>
    <w:rsid w:val="00A024F4"/>
    <w:rsid w:val="00A05881"/>
    <w:rsid w:val="00A12E9F"/>
    <w:rsid w:val="00A14902"/>
    <w:rsid w:val="00A2545D"/>
    <w:rsid w:val="00A2589D"/>
    <w:rsid w:val="00A3203C"/>
    <w:rsid w:val="00A42087"/>
    <w:rsid w:val="00A569C7"/>
    <w:rsid w:val="00A65123"/>
    <w:rsid w:val="00A7691F"/>
    <w:rsid w:val="00A77334"/>
    <w:rsid w:val="00A92D01"/>
    <w:rsid w:val="00A93325"/>
    <w:rsid w:val="00AC090C"/>
    <w:rsid w:val="00AD26F0"/>
    <w:rsid w:val="00AD65B2"/>
    <w:rsid w:val="00AD7D96"/>
    <w:rsid w:val="00AE048B"/>
    <w:rsid w:val="00AE25ED"/>
    <w:rsid w:val="00AE2ABF"/>
    <w:rsid w:val="00AF3244"/>
    <w:rsid w:val="00AF4852"/>
    <w:rsid w:val="00B20515"/>
    <w:rsid w:val="00B2176F"/>
    <w:rsid w:val="00B35CCA"/>
    <w:rsid w:val="00B46320"/>
    <w:rsid w:val="00B520F1"/>
    <w:rsid w:val="00B612F3"/>
    <w:rsid w:val="00B664A4"/>
    <w:rsid w:val="00B676D8"/>
    <w:rsid w:val="00B67F1A"/>
    <w:rsid w:val="00B85499"/>
    <w:rsid w:val="00BA07CB"/>
    <w:rsid w:val="00BA24B1"/>
    <w:rsid w:val="00BA7631"/>
    <w:rsid w:val="00BB0A86"/>
    <w:rsid w:val="00BB2306"/>
    <w:rsid w:val="00BC1947"/>
    <w:rsid w:val="00BC7619"/>
    <w:rsid w:val="00C31B82"/>
    <w:rsid w:val="00C41359"/>
    <w:rsid w:val="00C449A5"/>
    <w:rsid w:val="00C56DE6"/>
    <w:rsid w:val="00C60241"/>
    <w:rsid w:val="00C61A3F"/>
    <w:rsid w:val="00C64E1A"/>
    <w:rsid w:val="00C7638D"/>
    <w:rsid w:val="00C76CDC"/>
    <w:rsid w:val="00CA73A3"/>
    <w:rsid w:val="00CB3FBB"/>
    <w:rsid w:val="00CD15E6"/>
    <w:rsid w:val="00CD1C08"/>
    <w:rsid w:val="00D00CE7"/>
    <w:rsid w:val="00D032FC"/>
    <w:rsid w:val="00D06A97"/>
    <w:rsid w:val="00D26C52"/>
    <w:rsid w:val="00D26F19"/>
    <w:rsid w:val="00D66EE5"/>
    <w:rsid w:val="00D80A53"/>
    <w:rsid w:val="00D81EC1"/>
    <w:rsid w:val="00D838B8"/>
    <w:rsid w:val="00D90339"/>
    <w:rsid w:val="00D9277D"/>
    <w:rsid w:val="00D93FA3"/>
    <w:rsid w:val="00D943E5"/>
    <w:rsid w:val="00D957AA"/>
    <w:rsid w:val="00DB3BF3"/>
    <w:rsid w:val="00DC53E6"/>
    <w:rsid w:val="00DE31BE"/>
    <w:rsid w:val="00DF1EFB"/>
    <w:rsid w:val="00E03FC4"/>
    <w:rsid w:val="00E41D76"/>
    <w:rsid w:val="00E52351"/>
    <w:rsid w:val="00E64B1A"/>
    <w:rsid w:val="00E779C0"/>
    <w:rsid w:val="00E849D1"/>
    <w:rsid w:val="00E8665D"/>
    <w:rsid w:val="00EA68EC"/>
    <w:rsid w:val="00EA69A8"/>
    <w:rsid w:val="00EA6EB7"/>
    <w:rsid w:val="00EB324D"/>
    <w:rsid w:val="00EB4463"/>
    <w:rsid w:val="00EE31FB"/>
    <w:rsid w:val="00EE5F06"/>
    <w:rsid w:val="00EE753B"/>
    <w:rsid w:val="00EF4CF2"/>
    <w:rsid w:val="00EF5C3D"/>
    <w:rsid w:val="00F07D70"/>
    <w:rsid w:val="00F14B61"/>
    <w:rsid w:val="00F4119D"/>
    <w:rsid w:val="00F43167"/>
    <w:rsid w:val="00F4356F"/>
    <w:rsid w:val="00F52AA2"/>
    <w:rsid w:val="00F5486F"/>
    <w:rsid w:val="00F833F8"/>
    <w:rsid w:val="00F91D0E"/>
    <w:rsid w:val="00F932A3"/>
    <w:rsid w:val="00FA36FA"/>
    <w:rsid w:val="00FB0B26"/>
    <w:rsid w:val="00FB339A"/>
    <w:rsid w:val="00FB7CF4"/>
    <w:rsid w:val="00FC6A30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F14337"/>
  <w15:docId w15:val="{2A02CDC1-062A-47F2-9244-A8A85E83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4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7">
    <w:name w:val="heading 7"/>
    <w:basedOn w:val="Default"/>
    <w:next w:val="Default"/>
    <w:link w:val="Ttulo7Carter"/>
    <w:uiPriority w:val="99"/>
    <w:qFormat/>
    <w:rsid w:val="00D06A97"/>
    <w:pPr>
      <w:outlineLvl w:val="6"/>
    </w:pPr>
    <w:rPr>
      <w:color w:val="auto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arter">
    <w:name w:val="Título 7 Caráter"/>
    <w:basedOn w:val="Tipodeletrapredefinidodopargrafo"/>
    <w:link w:val="Ttulo7"/>
    <w:uiPriority w:val="99"/>
    <w:locked/>
    <w:rsid w:val="00D06A97"/>
    <w:rPr>
      <w:rFonts w:ascii="Arial Black" w:hAnsi="Arial Black" w:cs="Arial Black"/>
      <w:sz w:val="24"/>
      <w:szCs w:val="24"/>
    </w:rPr>
  </w:style>
  <w:style w:type="paragraph" w:customStyle="1" w:styleId="Default">
    <w:name w:val="Default"/>
    <w:rsid w:val="00D06A97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eastAsia="en-US"/>
    </w:rPr>
  </w:style>
  <w:style w:type="paragraph" w:customStyle="1" w:styleId="infotxt">
    <w:name w:val="infotxt"/>
    <w:basedOn w:val="Default"/>
    <w:next w:val="Default"/>
    <w:uiPriority w:val="99"/>
    <w:rsid w:val="00D06A97"/>
    <w:rPr>
      <w:color w:val="auto"/>
    </w:rPr>
  </w:style>
  <w:style w:type="paragraph" w:styleId="Avanodecorpodetexto">
    <w:name w:val="Body Text Indent"/>
    <w:basedOn w:val="Default"/>
    <w:next w:val="Default"/>
    <w:link w:val="AvanodecorpodetextoCarter"/>
    <w:uiPriority w:val="99"/>
    <w:rsid w:val="00D06A97"/>
    <w:rPr>
      <w:color w:val="auto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locked/>
    <w:rsid w:val="00D06A97"/>
    <w:rPr>
      <w:rFonts w:ascii="Arial Black" w:hAnsi="Arial Black" w:cs="Arial Black"/>
      <w:sz w:val="24"/>
      <w:szCs w:val="24"/>
    </w:rPr>
  </w:style>
  <w:style w:type="paragraph" w:styleId="Textodebloco">
    <w:name w:val="Block Text"/>
    <w:basedOn w:val="Default"/>
    <w:next w:val="Default"/>
    <w:uiPriority w:val="99"/>
    <w:rsid w:val="00D06A97"/>
    <w:rPr>
      <w:color w:val="auto"/>
    </w:rPr>
  </w:style>
  <w:style w:type="paragraph" w:styleId="Avanodecorpodetexto2">
    <w:name w:val="Body Text Indent 2"/>
    <w:basedOn w:val="Default"/>
    <w:next w:val="Default"/>
    <w:link w:val="Avanodecorpodetexto2Carter"/>
    <w:uiPriority w:val="99"/>
    <w:rsid w:val="00D06A97"/>
    <w:rPr>
      <w:color w:val="auto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locked/>
    <w:rsid w:val="00D06A97"/>
    <w:rPr>
      <w:rFonts w:ascii="Arial Black" w:hAnsi="Arial Black" w:cs="Arial Black"/>
      <w:sz w:val="24"/>
      <w:szCs w:val="24"/>
    </w:rPr>
  </w:style>
  <w:style w:type="character" w:styleId="Hiperligao">
    <w:name w:val="Hyperlink"/>
    <w:basedOn w:val="Tipodeletrapredefinidodopargrafo"/>
    <w:uiPriority w:val="99"/>
    <w:rsid w:val="00D06A97"/>
    <w:rPr>
      <w:color w:val="000000"/>
    </w:rPr>
  </w:style>
  <w:style w:type="character" w:styleId="Refdenotaderodap">
    <w:name w:val="footnote reference"/>
    <w:basedOn w:val="Tipodeletrapredefinidodopargrafo"/>
    <w:uiPriority w:val="99"/>
    <w:semiHidden/>
    <w:rsid w:val="00D06A97"/>
    <w:rPr>
      <w:color w:val="000000"/>
    </w:rPr>
  </w:style>
  <w:style w:type="paragraph" w:styleId="Cabealho">
    <w:name w:val="header"/>
    <w:basedOn w:val="Normal"/>
    <w:link w:val="CabealhoCarter"/>
    <w:uiPriority w:val="99"/>
    <w:rsid w:val="00D06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D06A97"/>
  </w:style>
  <w:style w:type="paragraph" w:styleId="Rodap">
    <w:name w:val="footer"/>
    <w:basedOn w:val="Normal"/>
    <w:link w:val="RodapCarter"/>
    <w:uiPriority w:val="99"/>
    <w:rsid w:val="00D06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D06A97"/>
  </w:style>
  <w:style w:type="paragraph" w:styleId="Textodebalo">
    <w:name w:val="Balloon Text"/>
    <w:basedOn w:val="Normal"/>
    <w:link w:val="TextodebaloCarter"/>
    <w:uiPriority w:val="99"/>
    <w:semiHidden/>
    <w:rsid w:val="00D0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D06A97"/>
    <w:rPr>
      <w:rFonts w:ascii="Tahoma" w:hAnsi="Tahoma" w:cs="Tahoma"/>
      <w:sz w:val="16"/>
      <w:szCs w:val="16"/>
    </w:rPr>
  </w:style>
  <w:style w:type="paragraph" w:customStyle="1" w:styleId="FooterTXT">
    <w:name w:val="FooterTXT"/>
    <w:basedOn w:val="Normal"/>
    <w:rsid w:val="00183D1F"/>
    <w:pPr>
      <w:spacing w:after="0" w:line="360" w:lineRule="auto"/>
      <w:ind w:left="142" w:right="-150"/>
      <w:jc w:val="center"/>
    </w:pPr>
    <w:rPr>
      <w:rFonts w:ascii="Arial" w:eastAsia="Times New Roman" w:hAnsi="Arial" w:cs="Arial"/>
      <w:b/>
      <w:bCs/>
      <w:sz w:val="16"/>
      <w:szCs w:val="16"/>
      <w:lang w:eastAsia="pt-PT"/>
    </w:rPr>
  </w:style>
  <w:style w:type="paragraph" w:styleId="Corpodetexto3">
    <w:name w:val="Body Text 3"/>
    <w:basedOn w:val="Normal"/>
    <w:link w:val="Corpodetexto3Carter"/>
    <w:uiPriority w:val="99"/>
    <w:semiHidden/>
    <w:rsid w:val="009664B9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locked/>
    <w:rsid w:val="009664B9"/>
    <w:rPr>
      <w:sz w:val="16"/>
      <w:szCs w:val="16"/>
    </w:rPr>
  </w:style>
  <w:style w:type="paragraph" w:styleId="NormalWeb">
    <w:name w:val="Normal (Web)"/>
    <w:basedOn w:val="Default"/>
    <w:next w:val="Default"/>
    <w:uiPriority w:val="99"/>
    <w:rsid w:val="009664B9"/>
    <w:rPr>
      <w:rFonts w:ascii="Arial" w:hAnsi="Arial" w:cs="Arial"/>
      <w:color w:val="auto"/>
    </w:rPr>
  </w:style>
  <w:style w:type="paragraph" w:styleId="PargrafodaLista">
    <w:name w:val="List Paragraph"/>
    <w:basedOn w:val="Normal"/>
    <w:uiPriority w:val="34"/>
    <w:qFormat/>
    <w:rsid w:val="001703A3"/>
    <w:pPr>
      <w:ind w:left="720"/>
    </w:pPr>
  </w:style>
  <w:style w:type="paragraph" w:styleId="Textodenotaderodap">
    <w:name w:val="footnote text"/>
    <w:basedOn w:val="Normal"/>
    <w:link w:val="TextodenotaderodapCarter"/>
    <w:uiPriority w:val="99"/>
    <w:semiHidden/>
    <w:rsid w:val="00BA07CB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locked/>
    <w:rsid w:val="00BA07CB"/>
    <w:rPr>
      <w:sz w:val="20"/>
      <w:szCs w:val="20"/>
    </w:rPr>
  </w:style>
  <w:style w:type="paragraph" w:customStyle="1" w:styleId="Footerpg">
    <w:name w:val="Footer pg"/>
    <w:basedOn w:val="Normal"/>
    <w:rsid w:val="00F14B61"/>
    <w:pPr>
      <w:widowControl w:val="0"/>
      <w:tabs>
        <w:tab w:val="right" w:pos="9498"/>
      </w:tabs>
      <w:spacing w:before="2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pt-PT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F5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F5486F"/>
    <w:rPr>
      <w:rFonts w:ascii="Tahoma" w:hAnsi="Tahoma" w:cs="Tahoma"/>
      <w:sz w:val="16"/>
      <w:szCs w:val="16"/>
      <w:lang w:eastAsia="en-US"/>
    </w:rPr>
  </w:style>
  <w:style w:type="paragraph" w:customStyle="1" w:styleId="HeaderIA">
    <w:name w:val="HeaderIA"/>
    <w:basedOn w:val="Normal"/>
    <w:rsid w:val="00F5486F"/>
    <w:pPr>
      <w:widowControl w:val="0"/>
      <w:tabs>
        <w:tab w:val="center" w:pos="425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customStyle="1" w:styleId="Bodytext1">
    <w:name w:val="Body text|1_"/>
    <w:basedOn w:val="Tipodeletrapredefinidodopargrafo"/>
    <w:link w:val="Bodytext10"/>
    <w:rsid w:val="00A569C7"/>
    <w:rPr>
      <w:rFonts w:cs="Calibri"/>
    </w:rPr>
  </w:style>
  <w:style w:type="character" w:customStyle="1" w:styleId="Heading21">
    <w:name w:val="Heading #2|1_"/>
    <w:basedOn w:val="Tipodeletrapredefinidodopargrafo"/>
    <w:link w:val="Heading210"/>
    <w:rsid w:val="00A569C7"/>
    <w:rPr>
      <w:rFonts w:cs="Calibri"/>
      <w:b/>
    </w:rPr>
  </w:style>
  <w:style w:type="paragraph" w:customStyle="1" w:styleId="Bodytext10">
    <w:name w:val="Body text|1"/>
    <w:basedOn w:val="Normal"/>
    <w:link w:val="Bodytext1"/>
    <w:rsid w:val="00A569C7"/>
    <w:pPr>
      <w:widowControl w:val="0"/>
      <w:spacing w:after="240" w:line="240" w:lineRule="auto"/>
    </w:pPr>
    <w:rPr>
      <w:sz w:val="20"/>
      <w:szCs w:val="20"/>
      <w:lang w:eastAsia="pt-PT"/>
    </w:rPr>
  </w:style>
  <w:style w:type="paragraph" w:customStyle="1" w:styleId="Heading210">
    <w:name w:val="Heading #2|1"/>
    <w:basedOn w:val="Normal"/>
    <w:link w:val="Heading21"/>
    <w:rsid w:val="00A569C7"/>
    <w:pPr>
      <w:widowControl w:val="0"/>
      <w:spacing w:after="240" w:line="240" w:lineRule="auto"/>
      <w:outlineLvl w:val="1"/>
    </w:pPr>
    <w:rPr>
      <w:b/>
      <w:sz w:val="20"/>
      <w:szCs w:val="20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569C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569C7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569C7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Reviso">
    <w:name w:val="Revision"/>
    <w:hidden/>
    <w:uiPriority w:val="99"/>
    <w:semiHidden/>
    <w:rsid w:val="0096082D"/>
    <w:rPr>
      <w:rFonts w:cs="Calibri"/>
      <w:sz w:val="22"/>
      <w:szCs w:val="22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6082D"/>
    <w:pPr>
      <w:spacing w:after="200"/>
    </w:pPr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6082D"/>
    <w:rPr>
      <w:rFonts w:asciiTheme="minorHAnsi" w:eastAsiaTheme="minorHAnsi" w:hAnsiTheme="minorHAnsi" w:cs="Calibri"/>
      <w:b/>
      <w:bCs/>
      <w:kern w:val="2"/>
      <w:lang w:eastAsia="en-US"/>
      <w14:ligatures w14:val="standardContextual"/>
    </w:rPr>
  </w:style>
  <w:style w:type="table" w:styleId="TabelacomGrelha">
    <w:name w:val="Table Grid"/>
    <w:basedOn w:val="Tabelanormal"/>
    <w:locked/>
    <w:rsid w:val="00D9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EB4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mbiente-my.sharepoint.com/personal/andreia_rebotim_apambiente_pt/Documents/prtr@apambiente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dr.eionet.europa.eu/help/eprtr_lcp/Documents/E-PRTR_LCP%20-%20FAQ%20Production%20Volume%20v1.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r.eionet.europa.eu/help/eprtr_lc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@apambiente.p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212F1-1568-4E5A-AF11-95AE4654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1411</Words>
  <Characters>7622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Interpretativa n</vt:lpstr>
    </vt:vector>
  </TitlesOfParts>
  <Company>APA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Interpretativa n</dc:title>
  <dc:creator>dora.figueiredo</dc:creator>
  <cp:lastModifiedBy>Teresa Torcato</cp:lastModifiedBy>
  <cp:revision>2</cp:revision>
  <cp:lastPrinted>2014-02-13T11:15:00Z</cp:lastPrinted>
  <dcterms:created xsi:type="dcterms:W3CDTF">2025-03-12T09:54:00Z</dcterms:created>
  <dcterms:modified xsi:type="dcterms:W3CDTF">2025-03-12T09:54:00Z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-796137675</vt:i4>
  </property>
  <property fmtid="{D5CDD505-2E9C-101B-9397-08002B2CF9AE}" pid="3" name="_NewReviewCycle">
    <vt:lpwstr/>
  </property>
  <property fmtid="{D5CDD505-2E9C-101B-9397-08002B2CF9AE}" pid="4" name="_EmailSubject">
    <vt:lpwstr>FAQ volume de produção no âmbito do PRTR</vt:lpwstr>
  </property>
  <property fmtid="{D5CDD505-2E9C-101B-9397-08002B2CF9AE}" pid="5" name="_AuthorEmail">
    <vt:lpwstr>teresa.torcato@apambiente.pt</vt:lpwstr>
  </property>
  <property fmtid="{D5CDD505-2E9C-101B-9397-08002B2CF9AE}" pid="6" name="_AuthorEmailDisplayName">
    <vt:lpwstr>Teresa Torcato</vt:lpwstr>
  </property>
  <property fmtid="{D5CDD505-2E9C-101B-9397-08002B2CF9AE}" pid="7" name="_ReviewingToolsShownOnce">
    <vt:lpwstr/>
  </property>
</Properties>
</file>